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2420" w:rsidRDefault="001A3114">
      <w:pPr>
        <w:pStyle w:val="normal"/>
        <w:widowControl w:val="0"/>
        <w:ind w:firstLine="709"/>
        <w:jc w:val="center"/>
      </w:pPr>
      <w:r>
        <w:rPr>
          <w:b/>
        </w:rPr>
        <w:t>Результаты исследования надёжности ступичного подшипника передней подвески автомобиля ВАЗ 2190</w:t>
      </w:r>
    </w:p>
    <w:p w:rsidR="00D32420" w:rsidRDefault="00D32420">
      <w:pPr>
        <w:pStyle w:val="normal"/>
        <w:widowControl w:val="0"/>
        <w:ind w:firstLine="709"/>
        <w:jc w:val="center"/>
      </w:pPr>
    </w:p>
    <w:p w:rsidR="00D32420" w:rsidRDefault="001A3114">
      <w:pPr>
        <w:pStyle w:val="normal"/>
        <w:widowControl w:val="0"/>
        <w:tabs>
          <w:tab w:val="left" w:pos="-2127"/>
        </w:tabs>
        <w:spacing w:line="240" w:lineRule="auto"/>
        <w:ind w:firstLine="709"/>
        <w:jc w:val="center"/>
      </w:pPr>
      <w:r>
        <w:rPr>
          <w:i/>
        </w:rPr>
        <w:t>В.В. Попцов</w:t>
      </w:r>
    </w:p>
    <w:p w:rsidR="00D32420" w:rsidRPr="007415B1" w:rsidRDefault="001A3114">
      <w:pPr>
        <w:pStyle w:val="normal"/>
        <w:widowControl w:val="0"/>
        <w:tabs>
          <w:tab w:val="left" w:pos="-2127"/>
        </w:tabs>
        <w:spacing w:line="240" w:lineRule="auto"/>
        <w:ind w:firstLine="709"/>
        <w:jc w:val="center"/>
        <w:rPr>
          <w:sz w:val="24"/>
          <w:szCs w:val="24"/>
        </w:rPr>
      </w:pPr>
      <w:r w:rsidRPr="007415B1">
        <w:rPr>
          <w:i/>
          <w:sz w:val="24"/>
          <w:szCs w:val="24"/>
        </w:rPr>
        <w:t>Тюменский государственный нефтегазовый университет, Тюмень</w:t>
      </w:r>
    </w:p>
    <w:p w:rsidR="00D32420" w:rsidRDefault="00D32420">
      <w:pPr>
        <w:pStyle w:val="normal"/>
        <w:widowControl w:val="0"/>
        <w:tabs>
          <w:tab w:val="left" w:pos="-2127"/>
        </w:tabs>
        <w:spacing w:line="300" w:lineRule="auto"/>
        <w:ind w:firstLine="709"/>
        <w:jc w:val="center"/>
      </w:pPr>
    </w:p>
    <w:p w:rsidR="00D32420" w:rsidRDefault="001A3114" w:rsidP="00161040">
      <w:pPr>
        <w:pStyle w:val="normal"/>
        <w:widowControl w:val="0"/>
        <w:tabs>
          <w:tab w:val="left" w:pos="-2127"/>
        </w:tabs>
        <w:spacing w:line="240" w:lineRule="auto"/>
      </w:pPr>
      <w:r>
        <w:rPr>
          <w:b/>
          <w:sz w:val="24"/>
          <w:szCs w:val="24"/>
        </w:rPr>
        <w:t xml:space="preserve">Аннотация: </w:t>
      </w:r>
      <w:r>
        <w:rPr>
          <w:sz w:val="24"/>
          <w:szCs w:val="24"/>
        </w:rPr>
        <w:t xml:space="preserve">В данной статье представлены результаты исследований надёжности ступичного подшипника автомобиля ВАЗ-2190. Представлены предприятия, на базе которых производился сбор статистической информации. Обоснована актуальность выполненных исследований. Рассчитаны оценочные показатели надёжности ступичного подшипника. Выявлены зависимости показателей надежности подшипника в зависимости от пробега автомобиля с представлением полученных графиков. Предложены рекомендации по совершенствованию периодичности и замене исследуемого объекта. Представлены выводы проведённых исследований. Определены пути дальнейших научных исследований. </w:t>
      </w:r>
    </w:p>
    <w:p w:rsidR="00D32420" w:rsidRDefault="001A3114" w:rsidP="00161040">
      <w:pPr>
        <w:pStyle w:val="normal"/>
        <w:widowControl w:val="0"/>
        <w:spacing w:line="240" w:lineRule="auto"/>
      </w:pPr>
      <w:r>
        <w:rPr>
          <w:b/>
          <w:sz w:val="24"/>
          <w:szCs w:val="24"/>
        </w:rPr>
        <w:t>Ключевые слова:</w:t>
      </w:r>
      <w:r>
        <w:rPr>
          <w:sz w:val="24"/>
          <w:szCs w:val="24"/>
        </w:rPr>
        <w:t xml:space="preserve"> ступичный подшипник, надёжность, вероятность безотказной работы, интенсивность отказов, частота отказов, периодичность обслуживания. </w:t>
      </w:r>
    </w:p>
    <w:p w:rsidR="00D32420" w:rsidRDefault="00D32420">
      <w:pPr>
        <w:pStyle w:val="normal"/>
        <w:widowControl w:val="0"/>
        <w:spacing w:line="240" w:lineRule="auto"/>
        <w:ind w:firstLine="709"/>
      </w:pPr>
    </w:p>
    <w:p w:rsidR="00D32420" w:rsidRDefault="001A3114">
      <w:pPr>
        <w:pStyle w:val="normal"/>
        <w:widowControl w:val="0"/>
        <w:ind w:firstLine="709"/>
      </w:pPr>
      <w:r>
        <w:t>Сбор статистической информации по исследованию надёжности подшипников ступицы колеса автомобиля ВАЗ-2190 проводились с сети СТО наиболее крупных предприятий города Тюмени -  ОАО «АВТОВАЗ» и ООО СТО «Автоцентр-Лада Плюс», которые являются официальными торговыми и сервисными представителями завода изготовителя.</w:t>
      </w:r>
    </w:p>
    <w:p w:rsidR="00D32420" w:rsidRDefault="007415B1">
      <w:pPr>
        <w:pStyle w:val="normal"/>
        <w:widowControl w:val="0"/>
        <w:ind w:firstLine="709"/>
      </w:pPr>
      <w:r>
        <w:t xml:space="preserve">При анализе </w:t>
      </w:r>
      <w:r w:rsidR="001A3114">
        <w:t>относительн</w:t>
      </w:r>
      <w:r>
        <w:t>ой</w:t>
      </w:r>
      <w:r w:rsidR="001A3114">
        <w:t xml:space="preserve"> доли отказов по конструктивным элементам передней подвески </w:t>
      </w:r>
      <w:r>
        <w:t>автомобиля,</w:t>
      </w:r>
      <w:r w:rsidR="001A3114">
        <w:t xml:space="preserve"> было установлено, что 25% отказов связано с выходом из строя подшипника ступицы колеса, 19% - стойки подвески,16% - стабилизатора, 14% - поворотного рычага, 9% - упорного подшипника. На основании полученных статистических данных можно сделать вывод об актуальности исследований, связанных с оценкой надёжности ступичного подшипника [1-3].</w:t>
      </w:r>
    </w:p>
    <w:p w:rsidR="00D32420" w:rsidRDefault="001A3114">
      <w:pPr>
        <w:pStyle w:val="normal"/>
        <w:ind w:firstLine="709"/>
      </w:pPr>
      <w:r>
        <w:t>Для получения достоверных данных было выбрано 60 испытуемых объектов.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t>В эксперименте участвовали автомобили с пробегом от 0 до 80 тысяч километров. Была собрана информация по отказам ступичного пoдшипникa передней оси автомобиля ВАЗ 2190. Следует отмет</w:t>
      </w:r>
      <w:r w:rsidR="007415B1">
        <w:t>ит</w:t>
      </w:r>
      <w:r>
        <w:t xml:space="preserve">ь, что все </w:t>
      </w:r>
      <w:r>
        <w:lastRenderedPageBreak/>
        <w:t>автомобили своевременно проходили сервисное обслуживание в соответствии с установленным пробегом и объёмом работ [4-6].</w:t>
      </w:r>
    </w:p>
    <w:p w:rsidR="00D32420" w:rsidRDefault="001A3114">
      <w:pPr>
        <w:pStyle w:val="normal"/>
        <w:widowControl w:val="0"/>
        <w:ind w:firstLine="709"/>
      </w:pPr>
      <w:r>
        <w:t>Вариационные ряды наработок на отказ подшипника ступицы приведены в табл. 1.</w:t>
      </w:r>
    </w:p>
    <w:p w:rsidR="00D32420" w:rsidRDefault="001A3114">
      <w:pPr>
        <w:pStyle w:val="normal"/>
        <w:widowControl w:val="0"/>
        <w:jc w:val="right"/>
      </w:pPr>
      <w:r>
        <w:t>Таблица 1</w:t>
      </w:r>
    </w:p>
    <w:p w:rsidR="00D32420" w:rsidRDefault="001A3114">
      <w:pPr>
        <w:pStyle w:val="normal"/>
        <w:widowControl w:val="0"/>
        <w:jc w:val="center"/>
      </w:pPr>
      <w:r>
        <w:t>Вариационные ряды наработки на отказ</w:t>
      </w:r>
    </w:p>
    <w:tbl>
      <w:tblPr>
        <w:tblStyle w:val="20"/>
        <w:tblW w:w="9328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1"/>
        <w:gridCol w:w="773"/>
        <w:gridCol w:w="773"/>
        <w:gridCol w:w="779"/>
        <w:gridCol w:w="779"/>
        <w:gridCol w:w="779"/>
        <w:gridCol w:w="779"/>
        <w:gridCol w:w="739"/>
        <w:gridCol w:w="819"/>
        <w:gridCol w:w="779"/>
        <w:gridCol w:w="779"/>
        <w:gridCol w:w="779"/>
      </w:tblGrid>
      <w:tr w:rsidR="00D32420">
        <w:trPr>
          <w:trHeight w:val="480"/>
        </w:trPr>
        <w:tc>
          <w:tcPr>
            <w:tcW w:w="772" w:type="dxa"/>
          </w:tcPr>
          <w:p w:rsidR="00D32420" w:rsidRDefault="001A3114">
            <w:pPr>
              <w:pStyle w:val="normal"/>
              <w:widowControl w:val="0"/>
              <w:ind w:hanging="47"/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773" w:type="dxa"/>
          </w:tcPr>
          <w:p w:rsidR="00D32420" w:rsidRDefault="001A3114">
            <w:pPr>
              <w:pStyle w:val="normal"/>
              <w:widowControl w:val="0"/>
              <w:ind w:hanging="108"/>
              <w:jc w:val="left"/>
            </w:pPr>
            <w:r>
              <w:rPr>
                <w:sz w:val="24"/>
                <w:szCs w:val="24"/>
              </w:rPr>
              <w:t xml:space="preserve"> 2500</w:t>
            </w:r>
          </w:p>
        </w:tc>
        <w:tc>
          <w:tcPr>
            <w:tcW w:w="773" w:type="dxa"/>
          </w:tcPr>
          <w:p w:rsidR="00D32420" w:rsidRDefault="001A3114">
            <w:pPr>
              <w:pStyle w:val="normal"/>
              <w:widowControl w:val="0"/>
              <w:ind w:right="-15" w:hanging="108"/>
              <w:jc w:val="left"/>
            </w:pPr>
            <w:r>
              <w:rPr>
                <w:sz w:val="24"/>
                <w:szCs w:val="24"/>
              </w:rPr>
              <w:t xml:space="preserve"> 5250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90"/>
            </w:pPr>
            <w:r>
              <w:rPr>
                <w:sz w:val="24"/>
                <w:szCs w:val="24"/>
              </w:rPr>
              <w:t xml:space="preserve"> 7500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159"/>
            </w:pPr>
            <w:r>
              <w:rPr>
                <w:sz w:val="24"/>
                <w:szCs w:val="24"/>
              </w:rPr>
              <w:t xml:space="preserve">  8000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85"/>
            </w:pPr>
            <w:r>
              <w:rPr>
                <w:sz w:val="24"/>
                <w:szCs w:val="24"/>
              </w:rPr>
              <w:t>8500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right="-61" w:hanging="153"/>
            </w:pPr>
            <w:r>
              <w:rPr>
                <w:sz w:val="24"/>
                <w:szCs w:val="24"/>
              </w:rPr>
              <w:t xml:space="preserve">  9650</w:t>
            </w:r>
          </w:p>
        </w:tc>
        <w:tc>
          <w:tcPr>
            <w:tcW w:w="739" w:type="dxa"/>
          </w:tcPr>
          <w:p w:rsidR="00D32420" w:rsidRDefault="001A3114">
            <w:pPr>
              <w:pStyle w:val="normal"/>
              <w:widowControl w:val="0"/>
              <w:ind w:hanging="80"/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819" w:type="dxa"/>
          </w:tcPr>
          <w:p w:rsidR="00D32420" w:rsidRDefault="001A3114">
            <w:pPr>
              <w:pStyle w:val="normal"/>
              <w:widowControl w:val="0"/>
              <w:ind w:hanging="148"/>
            </w:pPr>
            <w:r>
              <w:rPr>
                <w:sz w:val="24"/>
                <w:szCs w:val="24"/>
              </w:rPr>
              <w:t xml:space="preserve">  12500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75"/>
            </w:pPr>
            <w:r>
              <w:rPr>
                <w:sz w:val="24"/>
                <w:szCs w:val="24"/>
              </w:rPr>
              <w:t>13000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143"/>
            </w:pPr>
            <w:r>
              <w:rPr>
                <w:sz w:val="24"/>
                <w:szCs w:val="24"/>
              </w:rPr>
              <w:t xml:space="preserve"> 13698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69"/>
            </w:pPr>
            <w:r>
              <w:rPr>
                <w:sz w:val="24"/>
                <w:szCs w:val="24"/>
              </w:rPr>
              <w:t>15000</w:t>
            </w:r>
          </w:p>
        </w:tc>
      </w:tr>
      <w:tr w:rsidR="00D32420">
        <w:trPr>
          <w:trHeight w:val="480"/>
        </w:trPr>
        <w:tc>
          <w:tcPr>
            <w:tcW w:w="772" w:type="dxa"/>
          </w:tcPr>
          <w:p w:rsidR="00D32420" w:rsidRDefault="001A3114">
            <w:pPr>
              <w:pStyle w:val="normal"/>
              <w:widowControl w:val="0"/>
              <w:ind w:hanging="47"/>
            </w:pPr>
            <w:r>
              <w:rPr>
                <w:sz w:val="24"/>
                <w:szCs w:val="24"/>
              </w:rPr>
              <w:t>16520</w:t>
            </w:r>
          </w:p>
        </w:tc>
        <w:tc>
          <w:tcPr>
            <w:tcW w:w="773" w:type="dxa"/>
          </w:tcPr>
          <w:p w:rsidR="00D32420" w:rsidRDefault="001A3114">
            <w:pPr>
              <w:pStyle w:val="normal"/>
              <w:widowControl w:val="0"/>
              <w:ind w:hanging="108"/>
              <w:jc w:val="left"/>
            </w:pPr>
            <w:r>
              <w:rPr>
                <w:sz w:val="24"/>
                <w:szCs w:val="24"/>
              </w:rPr>
              <w:t xml:space="preserve"> 16900</w:t>
            </w:r>
          </w:p>
        </w:tc>
        <w:tc>
          <w:tcPr>
            <w:tcW w:w="773" w:type="dxa"/>
          </w:tcPr>
          <w:p w:rsidR="00D32420" w:rsidRDefault="001A3114">
            <w:pPr>
              <w:pStyle w:val="normal"/>
              <w:widowControl w:val="0"/>
              <w:ind w:right="-15" w:hanging="108"/>
              <w:jc w:val="left"/>
            </w:pPr>
            <w:r>
              <w:rPr>
                <w:sz w:val="24"/>
                <w:szCs w:val="24"/>
              </w:rPr>
              <w:t xml:space="preserve"> 16970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90"/>
            </w:pPr>
            <w:r>
              <w:rPr>
                <w:sz w:val="24"/>
                <w:szCs w:val="24"/>
              </w:rPr>
              <w:t>17700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159"/>
            </w:pPr>
            <w:r>
              <w:rPr>
                <w:sz w:val="24"/>
                <w:szCs w:val="24"/>
              </w:rPr>
              <w:t xml:space="preserve">  19000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85"/>
            </w:pPr>
            <w:r>
              <w:rPr>
                <w:sz w:val="24"/>
                <w:szCs w:val="24"/>
              </w:rPr>
              <w:t>19900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right="-61" w:hanging="153"/>
            </w:pPr>
            <w:r>
              <w:rPr>
                <w:sz w:val="24"/>
                <w:szCs w:val="24"/>
              </w:rPr>
              <w:t xml:space="preserve"> 22000</w:t>
            </w:r>
          </w:p>
        </w:tc>
        <w:tc>
          <w:tcPr>
            <w:tcW w:w="739" w:type="dxa"/>
          </w:tcPr>
          <w:p w:rsidR="00D32420" w:rsidRDefault="001A3114">
            <w:pPr>
              <w:pStyle w:val="normal"/>
              <w:widowControl w:val="0"/>
              <w:ind w:hanging="80"/>
            </w:pPr>
            <w:r>
              <w:rPr>
                <w:sz w:val="24"/>
                <w:szCs w:val="24"/>
              </w:rPr>
              <w:t xml:space="preserve">23560  </w:t>
            </w:r>
          </w:p>
        </w:tc>
        <w:tc>
          <w:tcPr>
            <w:tcW w:w="819" w:type="dxa"/>
          </w:tcPr>
          <w:p w:rsidR="00D32420" w:rsidRDefault="001A3114">
            <w:pPr>
              <w:pStyle w:val="normal"/>
              <w:widowControl w:val="0"/>
              <w:ind w:hanging="148"/>
            </w:pPr>
            <w:r>
              <w:rPr>
                <w:sz w:val="24"/>
                <w:szCs w:val="24"/>
              </w:rPr>
              <w:t xml:space="preserve">  24000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75"/>
            </w:pPr>
            <w:r>
              <w:rPr>
                <w:sz w:val="24"/>
                <w:szCs w:val="24"/>
              </w:rPr>
              <w:t>25000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143"/>
            </w:pPr>
            <w:r>
              <w:rPr>
                <w:sz w:val="24"/>
                <w:szCs w:val="24"/>
              </w:rPr>
              <w:t xml:space="preserve"> 28000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69"/>
            </w:pPr>
            <w:r>
              <w:rPr>
                <w:sz w:val="24"/>
                <w:szCs w:val="24"/>
              </w:rPr>
              <w:t>29000</w:t>
            </w:r>
          </w:p>
        </w:tc>
      </w:tr>
      <w:tr w:rsidR="00D32420">
        <w:trPr>
          <w:trHeight w:val="480"/>
        </w:trPr>
        <w:tc>
          <w:tcPr>
            <w:tcW w:w="772" w:type="dxa"/>
          </w:tcPr>
          <w:p w:rsidR="00D32420" w:rsidRDefault="001A3114">
            <w:pPr>
              <w:pStyle w:val="normal"/>
              <w:widowControl w:val="0"/>
              <w:ind w:hanging="47"/>
            </w:pPr>
            <w:r>
              <w:rPr>
                <w:sz w:val="24"/>
                <w:szCs w:val="24"/>
              </w:rPr>
              <w:t>33000</w:t>
            </w:r>
          </w:p>
        </w:tc>
        <w:tc>
          <w:tcPr>
            <w:tcW w:w="773" w:type="dxa"/>
          </w:tcPr>
          <w:p w:rsidR="00D32420" w:rsidRDefault="001A3114">
            <w:pPr>
              <w:pStyle w:val="normal"/>
              <w:widowControl w:val="0"/>
              <w:ind w:hanging="108"/>
              <w:jc w:val="left"/>
            </w:pPr>
            <w:r>
              <w:rPr>
                <w:sz w:val="24"/>
                <w:szCs w:val="24"/>
              </w:rPr>
              <w:t xml:space="preserve"> 33800</w:t>
            </w:r>
          </w:p>
        </w:tc>
        <w:tc>
          <w:tcPr>
            <w:tcW w:w="773" w:type="dxa"/>
          </w:tcPr>
          <w:p w:rsidR="00D32420" w:rsidRDefault="001A3114">
            <w:pPr>
              <w:pStyle w:val="normal"/>
              <w:widowControl w:val="0"/>
              <w:ind w:right="-15" w:hanging="108"/>
              <w:jc w:val="left"/>
            </w:pPr>
            <w:r>
              <w:rPr>
                <w:sz w:val="24"/>
                <w:szCs w:val="24"/>
              </w:rPr>
              <w:t xml:space="preserve"> 35000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90"/>
            </w:pPr>
            <w:r>
              <w:rPr>
                <w:sz w:val="24"/>
                <w:szCs w:val="24"/>
              </w:rPr>
              <w:t>35000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159"/>
            </w:pPr>
            <w:r>
              <w:rPr>
                <w:sz w:val="24"/>
                <w:szCs w:val="24"/>
              </w:rPr>
              <w:t xml:space="preserve">  35350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85"/>
            </w:pPr>
            <w:r>
              <w:rPr>
                <w:sz w:val="24"/>
                <w:szCs w:val="24"/>
              </w:rPr>
              <w:t>37000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right="-61" w:hanging="153"/>
            </w:pPr>
            <w:r>
              <w:rPr>
                <w:sz w:val="24"/>
                <w:szCs w:val="24"/>
              </w:rPr>
              <w:t xml:space="preserve"> 37870</w:t>
            </w:r>
          </w:p>
        </w:tc>
        <w:tc>
          <w:tcPr>
            <w:tcW w:w="739" w:type="dxa"/>
          </w:tcPr>
          <w:p w:rsidR="00D32420" w:rsidRDefault="001A3114">
            <w:pPr>
              <w:pStyle w:val="normal"/>
              <w:widowControl w:val="0"/>
              <w:ind w:hanging="80"/>
            </w:pPr>
            <w:r>
              <w:rPr>
                <w:sz w:val="24"/>
                <w:szCs w:val="24"/>
              </w:rPr>
              <w:t>38000</w:t>
            </w:r>
          </w:p>
        </w:tc>
        <w:tc>
          <w:tcPr>
            <w:tcW w:w="819" w:type="dxa"/>
          </w:tcPr>
          <w:p w:rsidR="00D32420" w:rsidRDefault="001A3114">
            <w:pPr>
              <w:pStyle w:val="normal"/>
              <w:widowControl w:val="0"/>
              <w:ind w:hanging="148"/>
            </w:pPr>
            <w:r>
              <w:rPr>
                <w:sz w:val="24"/>
                <w:szCs w:val="24"/>
              </w:rPr>
              <w:t xml:space="preserve">  40000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75"/>
            </w:pPr>
            <w:r>
              <w:rPr>
                <w:sz w:val="24"/>
                <w:szCs w:val="24"/>
              </w:rPr>
              <w:t>41000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143"/>
            </w:pPr>
            <w:r>
              <w:rPr>
                <w:sz w:val="24"/>
                <w:szCs w:val="24"/>
              </w:rPr>
              <w:t xml:space="preserve"> 43000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69"/>
            </w:pPr>
            <w:r>
              <w:rPr>
                <w:sz w:val="24"/>
                <w:szCs w:val="24"/>
              </w:rPr>
              <w:t>43300</w:t>
            </w:r>
          </w:p>
        </w:tc>
      </w:tr>
      <w:tr w:rsidR="00D32420">
        <w:trPr>
          <w:trHeight w:val="480"/>
        </w:trPr>
        <w:tc>
          <w:tcPr>
            <w:tcW w:w="772" w:type="dxa"/>
          </w:tcPr>
          <w:p w:rsidR="00D32420" w:rsidRDefault="001A3114">
            <w:pPr>
              <w:pStyle w:val="normal"/>
              <w:widowControl w:val="0"/>
              <w:ind w:hanging="47"/>
            </w:pPr>
            <w:r>
              <w:rPr>
                <w:sz w:val="24"/>
                <w:szCs w:val="24"/>
              </w:rPr>
              <w:t>43600</w:t>
            </w:r>
          </w:p>
        </w:tc>
        <w:tc>
          <w:tcPr>
            <w:tcW w:w="773" w:type="dxa"/>
          </w:tcPr>
          <w:p w:rsidR="00D32420" w:rsidRDefault="001A3114">
            <w:pPr>
              <w:pStyle w:val="normal"/>
              <w:widowControl w:val="0"/>
              <w:ind w:hanging="108"/>
              <w:jc w:val="left"/>
            </w:pPr>
            <w:r>
              <w:rPr>
                <w:sz w:val="24"/>
                <w:szCs w:val="24"/>
              </w:rPr>
              <w:t xml:space="preserve"> 46600</w:t>
            </w:r>
          </w:p>
        </w:tc>
        <w:tc>
          <w:tcPr>
            <w:tcW w:w="773" w:type="dxa"/>
          </w:tcPr>
          <w:p w:rsidR="00D32420" w:rsidRDefault="001A3114">
            <w:pPr>
              <w:pStyle w:val="normal"/>
              <w:widowControl w:val="0"/>
              <w:ind w:right="-15" w:hanging="108"/>
              <w:jc w:val="left"/>
            </w:pPr>
            <w:r>
              <w:rPr>
                <w:sz w:val="24"/>
                <w:szCs w:val="24"/>
              </w:rPr>
              <w:t xml:space="preserve"> 47000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90"/>
            </w:pPr>
            <w:r>
              <w:rPr>
                <w:sz w:val="24"/>
                <w:szCs w:val="24"/>
              </w:rPr>
              <w:t>49980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159"/>
            </w:pPr>
            <w:r>
              <w:rPr>
                <w:sz w:val="24"/>
                <w:szCs w:val="24"/>
              </w:rPr>
              <w:t xml:space="preserve">  51500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85"/>
            </w:pPr>
            <w:r>
              <w:rPr>
                <w:sz w:val="24"/>
                <w:szCs w:val="24"/>
              </w:rPr>
              <w:t>52360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right="-61" w:hanging="153"/>
            </w:pPr>
            <w:r>
              <w:rPr>
                <w:sz w:val="24"/>
                <w:szCs w:val="24"/>
              </w:rPr>
              <w:t xml:space="preserve"> 54300</w:t>
            </w:r>
          </w:p>
        </w:tc>
        <w:tc>
          <w:tcPr>
            <w:tcW w:w="739" w:type="dxa"/>
          </w:tcPr>
          <w:p w:rsidR="00D32420" w:rsidRDefault="001A3114">
            <w:pPr>
              <w:pStyle w:val="normal"/>
              <w:widowControl w:val="0"/>
              <w:ind w:hanging="80"/>
            </w:pPr>
            <w:r>
              <w:rPr>
                <w:sz w:val="24"/>
                <w:szCs w:val="24"/>
              </w:rPr>
              <w:t>55000</w:t>
            </w:r>
          </w:p>
        </w:tc>
        <w:tc>
          <w:tcPr>
            <w:tcW w:w="819" w:type="dxa"/>
          </w:tcPr>
          <w:p w:rsidR="00D32420" w:rsidRDefault="001A3114">
            <w:pPr>
              <w:pStyle w:val="normal"/>
              <w:widowControl w:val="0"/>
              <w:ind w:hanging="148"/>
            </w:pPr>
            <w:r>
              <w:rPr>
                <w:sz w:val="24"/>
                <w:szCs w:val="24"/>
              </w:rPr>
              <w:t xml:space="preserve">  55500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75"/>
            </w:pPr>
            <w:r>
              <w:rPr>
                <w:sz w:val="24"/>
                <w:szCs w:val="24"/>
              </w:rPr>
              <w:t>57062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143"/>
            </w:pPr>
            <w:r>
              <w:rPr>
                <w:sz w:val="24"/>
                <w:szCs w:val="24"/>
              </w:rPr>
              <w:t xml:space="preserve"> 63520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69"/>
            </w:pPr>
            <w:r>
              <w:rPr>
                <w:sz w:val="24"/>
                <w:szCs w:val="24"/>
              </w:rPr>
              <w:t>65500</w:t>
            </w:r>
          </w:p>
        </w:tc>
      </w:tr>
      <w:tr w:rsidR="00D32420">
        <w:trPr>
          <w:trHeight w:val="440"/>
        </w:trPr>
        <w:tc>
          <w:tcPr>
            <w:tcW w:w="772" w:type="dxa"/>
          </w:tcPr>
          <w:p w:rsidR="00D32420" w:rsidRDefault="001A3114">
            <w:pPr>
              <w:pStyle w:val="normal"/>
              <w:widowControl w:val="0"/>
              <w:ind w:hanging="47"/>
            </w:pPr>
            <w:r>
              <w:rPr>
                <w:sz w:val="24"/>
                <w:szCs w:val="24"/>
              </w:rPr>
              <w:t>66600</w:t>
            </w:r>
          </w:p>
        </w:tc>
        <w:tc>
          <w:tcPr>
            <w:tcW w:w="773" w:type="dxa"/>
          </w:tcPr>
          <w:p w:rsidR="00D32420" w:rsidRDefault="001A3114">
            <w:pPr>
              <w:pStyle w:val="normal"/>
              <w:widowControl w:val="0"/>
              <w:ind w:hanging="108"/>
              <w:jc w:val="left"/>
            </w:pPr>
            <w:r>
              <w:rPr>
                <w:sz w:val="24"/>
                <w:szCs w:val="24"/>
              </w:rPr>
              <w:t xml:space="preserve"> 67320</w:t>
            </w:r>
          </w:p>
        </w:tc>
        <w:tc>
          <w:tcPr>
            <w:tcW w:w="773" w:type="dxa"/>
          </w:tcPr>
          <w:p w:rsidR="00D32420" w:rsidRDefault="001A3114">
            <w:pPr>
              <w:pStyle w:val="normal"/>
              <w:widowControl w:val="0"/>
              <w:ind w:right="-15" w:hanging="108"/>
              <w:jc w:val="left"/>
            </w:pPr>
            <w:r>
              <w:rPr>
                <w:sz w:val="24"/>
                <w:szCs w:val="24"/>
              </w:rPr>
              <w:t xml:space="preserve"> 68530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90"/>
            </w:pPr>
            <w:r>
              <w:rPr>
                <w:sz w:val="24"/>
                <w:szCs w:val="24"/>
              </w:rPr>
              <w:t>70000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159"/>
            </w:pPr>
            <w:r>
              <w:rPr>
                <w:sz w:val="24"/>
                <w:szCs w:val="24"/>
              </w:rPr>
              <w:t xml:space="preserve">  74600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85"/>
            </w:pPr>
            <w:r>
              <w:rPr>
                <w:sz w:val="24"/>
                <w:szCs w:val="24"/>
              </w:rPr>
              <w:t>75500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right="-61" w:hanging="153"/>
            </w:pPr>
            <w:r>
              <w:rPr>
                <w:sz w:val="24"/>
                <w:szCs w:val="24"/>
              </w:rPr>
              <w:t xml:space="preserve"> 76500</w:t>
            </w:r>
          </w:p>
        </w:tc>
        <w:tc>
          <w:tcPr>
            <w:tcW w:w="739" w:type="dxa"/>
          </w:tcPr>
          <w:p w:rsidR="00D32420" w:rsidRDefault="001A3114">
            <w:pPr>
              <w:pStyle w:val="normal"/>
              <w:widowControl w:val="0"/>
              <w:ind w:hanging="80"/>
            </w:pPr>
            <w:r>
              <w:rPr>
                <w:sz w:val="24"/>
                <w:szCs w:val="24"/>
              </w:rPr>
              <w:t>77700</w:t>
            </w:r>
          </w:p>
        </w:tc>
        <w:tc>
          <w:tcPr>
            <w:tcW w:w="819" w:type="dxa"/>
          </w:tcPr>
          <w:p w:rsidR="00D32420" w:rsidRDefault="001A3114">
            <w:pPr>
              <w:pStyle w:val="normal"/>
              <w:widowControl w:val="0"/>
              <w:ind w:hanging="148"/>
            </w:pPr>
            <w:r>
              <w:rPr>
                <w:sz w:val="24"/>
                <w:szCs w:val="24"/>
              </w:rPr>
              <w:t xml:space="preserve">  77777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75"/>
            </w:pPr>
            <w:r>
              <w:rPr>
                <w:sz w:val="24"/>
                <w:szCs w:val="24"/>
              </w:rPr>
              <w:t>78300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143"/>
            </w:pPr>
            <w:r>
              <w:rPr>
                <w:sz w:val="24"/>
                <w:szCs w:val="24"/>
              </w:rPr>
              <w:t xml:space="preserve"> 79000</w:t>
            </w:r>
          </w:p>
        </w:tc>
        <w:tc>
          <w:tcPr>
            <w:tcW w:w="779" w:type="dxa"/>
          </w:tcPr>
          <w:p w:rsidR="00D32420" w:rsidRDefault="001A3114">
            <w:pPr>
              <w:pStyle w:val="normal"/>
              <w:widowControl w:val="0"/>
              <w:ind w:hanging="69"/>
            </w:pPr>
            <w:r>
              <w:rPr>
                <w:sz w:val="24"/>
                <w:szCs w:val="24"/>
              </w:rPr>
              <w:t>79999</w:t>
            </w:r>
          </w:p>
        </w:tc>
      </w:tr>
    </w:tbl>
    <w:p w:rsidR="00D32420" w:rsidRDefault="00D32420">
      <w:pPr>
        <w:pStyle w:val="normal"/>
        <w:widowControl w:val="0"/>
        <w:ind w:firstLine="709"/>
      </w:pPr>
    </w:p>
    <w:p w:rsidR="00D32420" w:rsidRDefault="001A3114">
      <w:pPr>
        <w:pStyle w:val="normal"/>
        <w:widowControl w:val="0"/>
        <w:ind w:firstLine="709"/>
      </w:pPr>
      <w:r>
        <w:t xml:space="preserve">Полученные данные позволили произвести расчёт показателей безотказности ступичного подшипника автомобиля ВАЗ 2190, которые представлены в табл. 2.  </w:t>
      </w:r>
    </w:p>
    <w:p w:rsidR="00D32420" w:rsidRDefault="001A3114">
      <w:pPr>
        <w:pStyle w:val="normal"/>
        <w:widowControl w:val="0"/>
        <w:jc w:val="right"/>
      </w:pPr>
      <w:r>
        <w:t>Таблица 2</w:t>
      </w:r>
    </w:p>
    <w:p w:rsidR="00D32420" w:rsidRDefault="001A3114">
      <w:pPr>
        <w:pStyle w:val="normal"/>
        <w:widowControl w:val="0"/>
        <w:jc w:val="center"/>
      </w:pPr>
      <w:r>
        <w:t>Показателей безотказности ступичного подшипника автомобиля ВАЗ 2190</w:t>
      </w:r>
    </w:p>
    <w:tbl>
      <w:tblPr>
        <w:tblStyle w:val="10"/>
        <w:tblW w:w="9531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9"/>
        <w:gridCol w:w="903"/>
        <w:gridCol w:w="1009"/>
        <w:gridCol w:w="1010"/>
        <w:gridCol w:w="1010"/>
        <w:gridCol w:w="1010"/>
        <w:gridCol w:w="1010"/>
        <w:gridCol w:w="1010"/>
        <w:gridCol w:w="1010"/>
      </w:tblGrid>
      <w:tr w:rsidR="00D32420">
        <w:trPr>
          <w:jc w:val="center"/>
        </w:trPr>
        <w:tc>
          <w:tcPr>
            <w:tcW w:w="1559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Δl, тыс. км</w:t>
            </w:r>
          </w:p>
        </w:tc>
        <w:tc>
          <w:tcPr>
            <w:tcW w:w="903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0÷10</w:t>
            </w:r>
          </w:p>
        </w:tc>
        <w:tc>
          <w:tcPr>
            <w:tcW w:w="1009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10÷20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20÷30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30÷40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40÷50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50÷60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60÷70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70÷80</w:t>
            </w:r>
          </w:p>
        </w:tc>
      </w:tr>
      <w:tr w:rsidR="00D32420">
        <w:trPr>
          <w:jc w:val="center"/>
        </w:trPr>
        <w:tc>
          <w:tcPr>
            <w:tcW w:w="1559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r(Δl)</w:t>
            </w:r>
          </w:p>
        </w:tc>
        <w:tc>
          <w:tcPr>
            <w:tcW w:w="903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D32420">
        <w:trPr>
          <w:jc w:val="center"/>
        </w:trPr>
        <w:tc>
          <w:tcPr>
            <w:tcW w:w="1559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800" cy="230529"/>
                  <wp:effectExtent l="0" t="0" r="0" b="0"/>
                  <wp:docPr id="1" name="image02.jpg" descr="http://diagnosticlab.ucoz.ru/img/05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 descr="http://diagnosticlab.ucoz.ru/img/059.jpg"/>
                          <pic:cNvPicPr preferRelativeResize="0"/>
                        </pic:nvPicPr>
                        <pic:blipFill>
                          <a:blip r:embed="rId6" cstate="print"/>
                          <a:srcRect l="2222" t="15075" r="10001" b="118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05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</w:tr>
      <w:tr w:rsidR="00D32420">
        <w:trPr>
          <w:jc w:val="center"/>
        </w:trPr>
        <w:tc>
          <w:tcPr>
            <w:tcW w:w="1559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P(l)</w:t>
            </w:r>
          </w:p>
        </w:tc>
        <w:tc>
          <w:tcPr>
            <w:tcW w:w="903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0,883</w:t>
            </w:r>
          </w:p>
        </w:tc>
        <w:tc>
          <w:tcPr>
            <w:tcW w:w="1009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0,816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0,866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0,866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0,916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0,85</w:t>
            </w:r>
          </w:p>
        </w:tc>
      </w:tr>
      <w:tr w:rsidR="00D32420">
        <w:trPr>
          <w:jc w:val="center"/>
        </w:trPr>
        <w:tc>
          <w:tcPr>
            <w:tcW w:w="1559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Q(l)</w:t>
            </w:r>
          </w:p>
        </w:tc>
        <w:tc>
          <w:tcPr>
            <w:tcW w:w="903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0,117</w:t>
            </w:r>
          </w:p>
        </w:tc>
        <w:tc>
          <w:tcPr>
            <w:tcW w:w="1009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0,184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0,114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0,114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0,084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0,15</w:t>
            </w:r>
          </w:p>
        </w:tc>
      </w:tr>
      <w:tr w:rsidR="00D32420">
        <w:trPr>
          <w:jc w:val="center"/>
        </w:trPr>
        <w:tc>
          <w:tcPr>
            <w:tcW w:w="1559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 xml:space="preserve">a(Δl) </w:t>
            </w:r>
          </w:p>
        </w:tc>
        <w:tc>
          <w:tcPr>
            <w:tcW w:w="903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11,67</w:t>
            </w:r>
          </w:p>
        </w:tc>
        <w:tc>
          <w:tcPr>
            <w:tcW w:w="1009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18,33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13,33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13,33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8,33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D32420">
        <w:trPr>
          <w:jc w:val="center"/>
        </w:trPr>
        <w:tc>
          <w:tcPr>
            <w:tcW w:w="1559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 xml:space="preserve">λ(Δl) </w:t>
            </w:r>
          </w:p>
        </w:tc>
        <w:tc>
          <w:tcPr>
            <w:tcW w:w="903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3,53</w:t>
            </w:r>
          </w:p>
        </w:tc>
        <w:tc>
          <w:tcPr>
            <w:tcW w:w="1009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23,15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15,38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33,33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35,29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43,47</w:t>
            </w:r>
          </w:p>
        </w:tc>
        <w:tc>
          <w:tcPr>
            <w:tcW w:w="1010" w:type="dxa"/>
          </w:tcPr>
          <w:p w:rsidR="00D32420" w:rsidRDefault="001A3114">
            <w:pPr>
              <w:pStyle w:val="normal"/>
              <w:widowControl w:val="0"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D32420" w:rsidRDefault="00D32420">
      <w:pPr>
        <w:pStyle w:val="normal"/>
        <w:widowControl w:val="0"/>
        <w:ind w:firstLine="709"/>
      </w:pPr>
    </w:p>
    <w:p w:rsidR="00D32420" w:rsidRDefault="001A3114">
      <w:pPr>
        <w:pStyle w:val="normal"/>
        <w:widowControl w:val="0"/>
        <w:ind w:firstLine="709"/>
      </w:pPr>
      <w:r>
        <w:t>На основании расчётных данных получена зависимость вероятности безотказной работы подшипника от пробега автомобиля, которая представлена на рис. 1.</w:t>
      </w:r>
    </w:p>
    <w:p w:rsidR="00D32420" w:rsidRDefault="00D32420">
      <w:pPr>
        <w:pStyle w:val="normal"/>
        <w:widowControl w:val="0"/>
        <w:ind w:firstLine="709"/>
      </w:pPr>
    </w:p>
    <w:p w:rsidR="00D32420" w:rsidRDefault="001A3114">
      <w:pPr>
        <w:pStyle w:val="normal"/>
        <w:widowControl w:val="0"/>
        <w:ind w:left="993" w:hanging="283"/>
      </w:pPr>
      <w:r>
        <w:rPr>
          <w:noProof/>
        </w:rPr>
        <w:drawing>
          <wp:inline distT="0" distB="0" distL="0" distR="0">
            <wp:extent cx="5251069" cy="3599079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069" cy="3599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2420" w:rsidRDefault="001A3114">
      <w:pPr>
        <w:pStyle w:val="normal"/>
        <w:widowControl w:val="0"/>
        <w:ind w:firstLine="709"/>
        <w:jc w:val="center"/>
      </w:pPr>
      <w:r>
        <w:t>Рис.1. Вероятности безотказной работы подшипника</w:t>
      </w:r>
    </w:p>
    <w:p w:rsidR="00D32420" w:rsidRDefault="00D32420">
      <w:pPr>
        <w:pStyle w:val="normal"/>
        <w:widowControl w:val="0"/>
        <w:ind w:firstLine="709"/>
      </w:pPr>
    </w:p>
    <w:p w:rsidR="00D32420" w:rsidRDefault="001A3114">
      <w:pPr>
        <w:pStyle w:val="normal"/>
        <w:widowControl w:val="0"/>
        <w:ind w:firstLine="709"/>
      </w:pPr>
      <w:r>
        <w:t>Из графика видно, что наименьшая вероятность безотказной работы наблюдается в интервале пробега от 0 до 10 тысяч километров пробега. Это подтверждает необходимость регулировки посадки ступичного подшипника в указанном интервале, которая производится при пробеге автомобиля в 10 тысяч километров пробега.</w:t>
      </w:r>
    </w:p>
    <w:p w:rsidR="00D32420" w:rsidRDefault="001A3114">
      <w:pPr>
        <w:pStyle w:val="normal"/>
        <w:widowControl w:val="0"/>
        <w:ind w:firstLine="709"/>
      </w:pPr>
      <w:r>
        <w:t xml:space="preserve"> Следующую регулировку необходимо провести в интервале пробега от 30 до 40 тысяч километров.</w:t>
      </w:r>
    </w:p>
    <w:p w:rsidR="00D32420" w:rsidRDefault="001A3114">
      <w:pPr>
        <w:pStyle w:val="normal"/>
        <w:widowControl w:val="0"/>
        <w:ind w:firstLine="709"/>
      </w:pPr>
      <w:r>
        <w:t xml:space="preserve"> Наибольшая вероятность безотказной работы наблюдается при пробеге в 60 тысяч, но это возможно при прохождении установленных обслуживаний. Нарушение графика прохождения обслуживания может привести к возникновению отказа</w:t>
      </w:r>
    </w:p>
    <w:p w:rsidR="00D32420" w:rsidRDefault="001A3114">
      <w:pPr>
        <w:pStyle w:val="normal"/>
        <w:widowControl w:val="0"/>
        <w:ind w:firstLine="709"/>
      </w:pPr>
      <w:r>
        <w:t xml:space="preserve">Частота отказов ступичного подшипника в пределах выбранных пробегов представлена на рисунке 2 [7-9]. </w:t>
      </w:r>
      <w:r>
        <w:rPr>
          <w:rFonts w:ascii="Arial" w:eastAsia="Arial" w:hAnsi="Arial" w:cs="Arial"/>
          <w:sz w:val="20"/>
          <w:szCs w:val="20"/>
        </w:rPr>
        <w:t xml:space="preserve">   </w:t>
      </w:r>
    </w:p>
    <w:p w:rsidR="00D32420" w:rsidRDefault="00D32420">
      <w:pPr>
        <w:pStyle w:val="normal"/>
        <w:widowControl w:val="0"/>
        <w:ind w:firstLine="709"/>
        <w:jc w:val="center"/>
      </w:pPr>
    </w:p>
    <w:p w:rsidR="00D32420" w:rsidRDefault="001A3114">
      <w:pPr>
        <w:pStyle w:val="normal"/>
        <w:widowControl w:val="0"/>
        <w:ind w:firstLine="284"/>
        <w:jc w:val="center"/>
      </w:pPr>
      <w:r>
        <w:rPr>
          <w:noProof/>
        </w:rPr>
        <w:lastRenderedPageBreak/>
        <w:drawing>
          <wp:inline distT="0" distB="0" distL="0" distR="0">
            <wp:extent cx="5438775" cy="25273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52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2420" w:rsidRDefault="001A3114">
      <w:pPr>
        <w:pStyle w:val="normal"/>
        <w:widowControl w:val="0"/>
        <w:ind w:firstLine="709"/>
        <w:jc w:val="center"/>
      </w:pPr>
      <w:r>
        <w:t>Рис. 2. Частота отказов ступичного подшипника</w:t>
      </w:r>
    </w:p>
    <w:p w:rsidR="00D32420" w:rsidRDefault="00D32420">
      <w:pPr>
        <w:pStyle w:val="normal"/>
        <w:widowControl w:val="0"/>
        <w:ind w:firstLine="709"/>
        <w:jc w:val="center"/>
      </w:pPr>
    </w:p>
    <w:p w:rsidR="00D32420" w:rsidRDefault="001A3114">
      <w:pPr>
        <w:pStyle w:val="normal"/>
        <w:widowControl w:val="0"/>
        <w:ind w:firstLine="709"/>
        <w:jc w:val="left"/>
      </w:pPr>
      <w:r>
        <w:t xml:space="preserve">Из графика видно, что наибольшая частота отказов наблюдается при пробеге в 10 тысяч километров [10]. </w:t>
      </w:r>
    </w:p>
    <w:p w:rsidR="00D32420" w:rsidRDefault="001A3114">
      <w:pPr>
        <w:pStyle w:val="normal"/>
        <w:widowControl w:val="0"/>
        <w:ind w:firstLine="709"/>
        <w:jc w:val="left"/>
      </w:pPr>
      <w:r>
        <w:t xml:space="preserve">Получена зависимость изменения интенсивности отказов от наработки ступичного подшипника, которая представлена на рис. 3. </w:t>
      </w:r>
    </w:p>
    <w:p w:rsidR="00D32420" w:rsidRDefault="00D32420">
      <w:pPr>
        <w:pStyle w:val="normal"/>
        <w:widowControl w:val="0"/>
        <w:ind w:firstLine="709"/>
        <w:jc w:val="center"/>
      </w:pPr>
    </w:p>
    <w:p w:rsidR="00D32420" w:rsidRDefault="001A3114">
      <w:pPr>
        <w:pStyle w:val="normal"/>
        <w:widowControl w:val="0"/>
        <w:ind w:firstLine="709"/>
        <w:jc w:val="center"/>
      </w:pPr>
      <w:r>
        <w:rPr>
          <w:noProof/>
        </w:rPr>
        <w:drawing>
          <wp:inline distT="0" distB="0" distL="0" distR="0">
            <wp:extent cx="5446395" cy="3333750"/>
            <wp:effectExtent l="0" t="0" r="0" b="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6395" cy="333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2420" w:rsidRDefault="001A3114">
      <w:pPr>
        <w:pStyle w:val="normal"/>
        <w:widowControl w:val="0"/>
        <w:ind w:firstLine="709"/>
        <w:jc w:val="center"/>
      </w:pPr>
      <w:r>
        <w:t xml:space="preserve">Рис.3. Интенсивность отказов </w:t>
      </w:r>
    </w:p>
    <w:p w:rsidR="00D32420" w:rsidRDefault="001A3114">
      <w:pPr>
        <w:pStyle w:val="normal"/>
        <w:widowControl w:val="0"/>
        <w:ind w:firstLine="709"/>
      </w:pPr>
      <w:r>
        <w:t xml:space="preserve">Из графика видно, что наибольшая интенсивность отказов наблюдается </w:t>
      </w:r>
      <w:r>
        <w:lastRenderedPageBreak/>
        <w:t>в интервале пробега от 60 до 70 тысяч километров. По результатам исследований можно рекомендовать производить замену ступичного подшипника в указанном интервале.</w:t>
      </w:r>
    </w:p>
    <w:p w:rsidR="00D32420" w:rsidRDefault="001A3114">
      <w:pPr>
        <w:pStyle w:val="normal"/>
        <w:widowControl w:val="0"/>
        <w:ind w:firstLine="709"/>
      </w:pPr>
      <w:r>
        <w:t xml:space="preserve">Результаты исследований будет использован для научного обоснования оптимальной периодичности технического обслуживания, а также для изменения конструкции с целью повышения надежности. </w:t>
      </w:r>
    </w:p>
    <w:p w:rsidR="00D32420" w:rsidRDefault="00D32420">
      <w:pPr>
        <w:pStyle w:val="normal"/>
        <w:widowControl w:val="0"/>
        <w:ind w:firstLine="709"/>
        <w:jc w:val="center"/>
      </w:pPr>
    </w:p>
    <w:p w:rsidR="00D32420" w:rsidRPr="00E6088D" w:rsidRDefault="001A3114">
      <w:pPr>
        <w:pStyle w:val="normal"/>
        <w:widowControl w:val="0"/>
        <w:ind w:firstLine="709"/>
        <w:jc w:val="center"/>
        <w:rPr>
          <w:lang w:val="en-US"/>
        </w:rPr>
      </w:pPr>
      <w:r>
        <w:rPr>
          <w:b/>
        </w:rPr>
        <w:t>Литература</w:t>
      </w:r>
    </w:p>
    <w:p w:rsidR="00D32420" w:rsidRPr="00E6088D" w:rsidRDefault="001A3114" w:rsidP="002738A6">
      <w:pPr>
        <w:pStyle w:val="normal"/>
        <w:ind w:firstLine="709"/>
        <w:rPr>
          <w:lang w:val="en-US"/>
        </w:rPr>
      </w:pPr>
      <w:r w:rsidRPr="00E6088D">
        <w:rPr>
          <w:lang w:val="en-US"/>
        </w:rPr>
        <w:t xml:space="preserve">1. Stamatis, D. Failure Mode and Effect Analysis: FMEA from Theory to </w:t>
      </w:r>
      <w:r w:rsidR="007415B1" w:rsidRPr="00E6088D">
        <w:rPr>
          <w:lang w:val="en-US"/>
        </w:rPr>
        <w:t>Execution /</w:t>
      </w:r>
      <w:r w:rsidRPr="00E6088D">
        <w:rPr>
          <w:lang w:val="en-US"/>
        </w:rPr>
        <w:t xml:space="preserve">/ ASQQualityPress. – 1995. – pp. 51-69. </w:t>
      </w:r>
    </w:p>
    <w:p w:rsidR="00D32420" w:rsidRPr="00E6088D" w:rsidRDefault="001A3114" w:rsidP="002738A6">
      <w:pPr>
        <w:pStyle w:val="normal"/>
        <w:ind w:firstLine="709"/>
        <w:rPr>
          <w:lang w:val="en-US"/>
        </w:rPr>
      </w:pPr>
      <w:r w:rsidRPr="00E6088D">
        <w:rPr>
          <w:lang w:val="en-US"/>
        </w:rPr>
        <w:t xml:space="preserve">2. Svärd C. Residual Generation Methods for Fault Diagnosis with Automotive Applications // Linköping Studiesin Science and Technology Thesis    № 1406. – 2009. – pp. 14-16. </w:t>
      </w:r>
    </w:p>
    <w:p w:rsidR="00D32420" w:rsidRDefault="001A3114" w:rsidP="002738A6">
      <w:pPr>
        <w:pStyle w:val="normal"/>
        <w:widowControl w:val="0"/>
        <w:ind w:firstLine="709"/>
      </w:pPr>
      <w:r>
        <w:t>3.     Кошель В.Н. Подшипники качения. - Издательство Наука и техника, 1993. – 386 с.</w:t>
      </w:r>
    </w:p>
    <w:p w:rsidR="00D32420" w:rsidRDefault="001A3114" w:rsidP="002738A6">
      <w:pPr>
        <w:pStyle w:val="normal"/>
        <w:widowControl w:val="0"/>
        <w:ind w:firstLine="709"/>
      </w:pPr>
      <w:r>
        <w:t>4.    Черменский О.Н. Подшипники качения. - М.: Машиностроение, 2003. – 576 с.</w:t>
      </w:r>
    </w:p>
    <w:p w:rsidR="00D32420" w:rsidRDefault="001A3114" w:rsidP="002738A6">
      <w:pPr>
        <w:pStyle w:val="normal"/>
        <w:widowControl w:val="0"/>
        <w:tabs>
          <w:tab w:val="left" w:pos="2920"/>
        </w:tabs>
        <w:ind w:firstLine="709"/>
      </w:pPr>
      <w:r>
        <w:t>5. РД 50-690-89. Методы оценки показателей надежности по экспериментальным данным. М.: Издательство стандартов, 1990. – 123 с.</w:t>
      </w:r>
    </w:p>
    <w:p w:rsidR="00D32420" w:rsidRDefault="001A3114" w:rsidP="002738A6">
      <w:pPr>
        <w:pStyle w:val="normal"/>
        <w:widowControl w:val="0"/>
        <w:ind w:firstLine="709"/>
      </w:pPr>
      <w:r>
        <w:t>6. Попцов</w:t>
      </w:r>
      <w:r w:rsidR="007415B1">
        <w:t>, В</w:t>
      </w:r>
      <w:r>
        <w:t>.В. Применение технологий централизованного ремонта агрегатов автомобилей по техническому состоянию в условиях мелкосерийного производства: дисс. … канд. техн. наук  – Тюмень, 2002. – 153 с.</w:t>
      </w:r>
    </w:p>
    <w:p w:rsidR="00D32420" w:rsidRDefault="001A3114" w:rsidP="002738A6">
      <w:pPr>
        <w:pStyle w:val="normal"/>
        <w:ind w:firstLine="709"/>
      </w:pPr>
      <w:r>
        <w:t>7. Захаров Н.С. Программа «REGRESS». Руководство пользователя– Тюмень: ТюмГНГУ, 1999. – 52 с.</w:t>
      </w:r>
    </w:p>
    <w:p w:rsidR="00D32420" w:rsidRDefault="001A3114" w:rsidP="002738A6">
      <w:pPr>
        <w:pStyle w:val="normal"/>
        <w:ind w:firstLine="709"/>
      </w:pPr>
      <w:r>
        <w:t>8. Половко, А.М.</w:t>
      </w:r>
      <w:r w:rsidR="007415B1">
        <w:t>, Гуров С.В.</w:t>
      </w:r>
      <w:r>
        <w:t xml:space="preserve"> Основы теории надежности. Практикум.</w:t>
      </w:r>
      <w:r w:rsidR="007415B1">
        <w:t xml:space="preserve"> </w:t>
      </w:r>
      <w:r>
        <w:t>– СПб.: БХВ-Петербург, 2006. – 560 с.</w:t>
      </w:r>
    </w:p>
    <w:p w:rsidR="00D32420" w:rsidRPr="007415B1" w:rsidRDefault="001A3114" w:rsidP="002738A6">
      <w:pPr>
        <w:pStyle w:val="normal"/>
        <w:widowControl w:val="0"/>
        <w:ind w:firstLine="709"/>
      </w:pPr>
      <w:r w:rsidRPr="007415B1">
        <w:rPr>
          <w:rFonts w:eastAsia="Arial Unicode MS"/>
        </w:rPr>
        <w:t xml:space="preserve">9. </w:t>
      </w:r>
      <w:r w:rsidR="007415B1" w:rsidRPr="007415B1">
        <w:rPr>
          <w:rFonts w:eastAsia="Arial Unicode MS"/>
        </w:rPr>
        <w:t xml:space="preserve">Пермяков В.Н., Новоселов О.А., Макарова А.Н.  </w:t>
      </w:r>
      <w:r w:rsidRPr="007415B1">
        <w:rPr>
          <w:rFonts w:eastAsia="Arial Unicode MS"/>
        </w:rPr>
        <w:t xml:space="preserve">Моделирование закономерностей распределения наработок на отказ бульдозеров при </w:t>
      </w:r>
      <w:r w:rsidRPr="007415B1">
        <w:rPr>
          <w:rFonts w:eastAsia="Arial Unicode MS"/>
        </w:rPr>
        <w:lastRenderedPageBreak/>
        <w:t>строительстве оснований для нефтегазовых объектов  // Инженерный вестник Дона. – 2014. – №2. − URL: ivdon.ru/ru/magazine/archive/n2y2014/2435.</w:t>
      </w:r>
    </w:p>
    <w:p w:rsidR="00D32420" w:rsidRPr="00E6088D" w:rsidRDefault="001A3114" w:rsidP="002738A6">
      <w:pPr>
        <w:pStyle w:val="normal"/>
        <w:widowControl w:val="0"/>
        <w:ind w:firstLine="709"/>
        <w:rPr>
          <w:lang w:val="en-US"/>
        </w:rPr>
      </w:pPr>
      <w:r>
        <w:t xml:space="preserve">10. </w:t>
      </w:r>
      <w:r w:rsidR="007415B1">
        <w:t>Захаров</w:t>
      </w:r>
      <w:r w:rsidR="007415B1" w:rsidRPr="007415B1">
        <w:t xml:space="preserve"> </w:t>
      </w:r>
      <w:r w:rsidR="007415B1">
        <w:t>Н.С., Текутьев</w:t>
      </w:r>
      <w:r w:rsidR="007415B1" w:rsidRPr="007415B1">
        <w:t xml:space="preserve"> </w:t>
      </w:r>
      <w:r w:rsidR="007415B1">
        <w:t xml:space="preserve">Л.А. </w:t>
      </w:r>
      <w:r>
        <w:t xml:space="preserve">Информационное обеспечение системы контроля индекса клиентской лояльности  // Инженерный вестник Дона. – 2014. – №3. </w:t>
      </w:r>
      <w:r w:rsidRPr="00E6088D">
        <w:rPr>
          <w:lang w:val="en-US"/>
        </w:rPr>
        <w:t>URL: ivdon.ru/ru/magazine/archive/n3y2014/2506.</w:t>
      </w:r>
    </w:p>
    <w:p w:rsidR="00D32420" w:rsidRPr="00E6088D" w:rsidRDefault="00D32420">
      <w:pPr>
        <w:pStyle w:val="normal"/>
        <w:ind w:firstLine="709"/>
        <w:jc w:val="center"/>
        <w:rPr>
          <w:lang w:val="en-US"/>
        </w:rPr>
      </w:pPr>
    </w:p>
    <w:p w:rsidR="00D32420" w:rsidRPr="00B124C5" w:rsidRDefault="001A3114">
      <w:pPr>
        <w:pStyle w:val="normal"/>
        <w:ind w:firstLine="709"/>
        <w:jc w:val="center"/>
        <w:rPr>
          <w:b/>
          <w:lang w:val="en-US"/>
        </w:rPr>
      </w:pPr>
      <w:r w:rsidRPr="00B124C5">
        <w:rPr>
          <w:b/>
          <w:lang w:val="en-US"/>
        </w:rPr>
        <w:t>References</w:t>
      </w:r>
    </w:p>
    <w:p w:rsidR="00D32420" w:rsidRPr="00E6088D" w:rsidRDefault="001A3114">
      <w:pPr>
        <w:pStyle w:val="normal"/>
        <w:widowControl w:val="0"/>
        <w:ind w:firstLine="709"/>
        <w:rPr>
          <w:lang w:val="en-US"/>
        </w:rPr>
      </w:pPr>
      <w:r w:rsidRPr="00E6088D">
        <w:rPr>
          <w:lang w:val="en-US"/>
        </w:rPr>
        <w:t>1. Stamatis, D. Failure Mode and Effect Analysis: FMEA from Theory to Execution.  ASQQualityPress, 1995. pp. 51-69.</w:t>
      </w:r>
    </w:p>
    <w:p w:rsidR="00D32420" w:rsidRPr="00E6088D" w:rsidRDefault="001A3114">
      <w:pPr>
        <w:pStyle w:val="normal"/>
        <w:widowControl w:val="0"/>
        <w:ind w:firstLine="709"/>
        <w:rPr>
          <w:lang w:val="en-US"/>
        </w:rPr>
      </w:pPr>
      <w:r w:rsidRPr="00E6088D">
        <w:rPr>
          <w:lang w:val="en-US"/>
        </w:rPr>
        <w:t>2. Svärd C. Residual Generation Methods for Fault Diagnosis with Automotive Applications. Linköping Studiesin Science and Technology Thesis       № 1406, 2009.  pp. 14-16.</w:t>
      </w:r>
    </w:p>
    <w:p w:rsidR="00D32420" w:rsidRPr="00E6088D" w:rsidRDefault="001A3114">
      <w:pPr>
        <w:pStyle w:val="normal"/>
        <w:widowControl w:val="0"/>
        <w:ind w:firstLine="709"/>
        <w:rPr>
          <w:lang w:val="en-US"/>
        </w:rPr>
      </w:pPr>
      <w:r w:rsidRPr="00E6088D">
        <w:rPr>
          <w:lang w:val="en-US"/>
        </w:rPr>
        <w:t>3.     Koshel' V.N. Podshipniki kachenija</w:t>
      </w:r>
      <w:r w:rsidRPr="00E6088D">
        <w:rPr>
          <w:rFonts w:ascii="Arial" w:eastAsia="Arial" w:hAnsi="Arial" w:cs="Arial"/>
          <w:b/>
          <w:color w:val="222222"/>
          <w:lang w:val="en-US"/>
        </w:rPr>
        <w:t xml:space="preserve"> </w:t>
      </w:r>
      <w:r w:rsidRPr="00E6088D">
        <w:rPr>
          <w:color w:val="222222"/>
          <w:lang w:val="en-US"/>
        </w:rPr>
        <w:t>[Rolling bearings</w:t>
      </w:r>
      <w:r w:rsidR="007415B1" w:rsidRPr="00E6088D">
        <w:rPr>
          <w:color w:val="222222"/>
          <w:lang w:val="en-US"/>
        </w:rPr>
        <w:t>]</w:t>
      </w:r>
      <w:r w:rsidR="007415B1" w:rsidRPr="00E6088D">
        <w:rPr>
          <w:lang w:val="en-US"/>
        </w:rPr>
        <w:t xml:space="preserve">. </w:t>
      </w:r>
      <w:r w:rsidRPr="00E6088D">
        <w:rPr>
          <w:lang w:val="en-US"/>
        </w:rPr>
        <w:t>Izdatel'stvo Nauka i tehnika, 1993. 386 p.</w:t>
      </w:r>
    </w:p>
    <w:p w:rsidR="00D32420" w:rsidRPr="00E6088D" w:rsidRDefault="001A3114">
      <w:pPr>
        <w:pStyle w:val="normal"/>
        <w:widowControl w:val="0"/>
        <w:ind w:firstLine="709"/>
        <w:rPr>
          <w:lang w:val="en-US"/>
        </w:rPr>
      </w:pPr>
      <w:r w:rsidRPr="00E6088D">
        <w:rPr>
          <w:lang w:val="en-US"/>
        </w:rPr>
        <w:t xml:space="preserve">4.    Chermenskij O.N. Podshipniki kachenija </w:t>
      </w:r>
      <w:r w:rsidRPr="00E6088D">
        <w:rPr>
          <w:color w:val="222222"/>
          <w:lang w:val="en-US"/>
        </w:rPr>
        <w:t>[Rolling bearings].</w:t>
      </w:r>
      <w:r w:rsidRPr="00E6088D">
        <w:rPr>
          <w:lang w:val="en-US"/>
        </w:rPr>
        <w:t xml:space="preserve"> M.: Mashinostroenie, 2003. 576 p.</w:t>
      </w:r>
    </w:p>
    <w:p w:rsidR="00D32420" w:rsidRPr="00E6088D" w:rsidRDefault="001A3114">
      <w:pPr>
        <w:pStyle w:val="normal"/>
        <w:widowControl w:val="0"/>
        <w:ind w:firstLine="709"/>
        <w:rPr>
          <w:lang w:val="en-US"/>
        </w:rPr>
      </w:pPr>
      <w:r w:rsidRPr="00E6088D">
        <w:rPr>
          <w:lang w:val="en-US"/>
        </w:rPr>
        <w:t xml:space="preserve">5. RD 50 – 690 – 89. Metody ocenki pokazatelej nadezhnosti po jeksperimental'nym dannym </w:t>
      </w:r>
      <w:r w:rsidRPr="00E6088D">
        <w:rPr>
          <w:color w:val="222222"/>
          <w:lang w:val="en-US"/>
        </w:rPr>
        <w:t>[Methods for estimating the reliability of experimental data]</w:t>
      </w:r>
      <w:r w:rsidRPr="00E6088D">
        <w:rPr>
          <w:lang w:val="en-US"/>
        </w:rPr>
        <w:t>. M.: Izdatel'stvo standartov, 1990. 123 p.</w:t>
      </w:r>
    </w:p>
    <w:p w:rsidR="00D32420" w:rsidRPr="00E6088D" w:rsidRDefault="001A3114">
      <w:pPr>
        <w:pStyle w:val="normal"/>
        <w:widowControl w:val="0"/>
        <w:ind w:firstLine="709"/>
        <w:rPr>
          <w:lang w:val="en-US"/>
        </w:rPr>
      </w:pPr>
      <w:r w:rsidRPr="00E6088D">
        <w:rPr>
          <w:lang w:val="en-US"/>
        </w:rPr>
        <w:t>6. Popcov,V.V. Primenenie tehnologij centralizovannogo remonta agregatov avtomobilej po tehnicheskomu sostojaniju v uslovijah melkoserijnogo proizvodstva [The use of technology centralized maintenance units of the car on a technical condition in the small-scale production]: diss. … kand. tehn.  nauk. Tjumen', 2002. 153 p.</w:t>
      </w:r>
    </w:p>
    <w:p w:rsidR="00D32420" w:rsidRPr="00E6088D" w:rsidRDefault="001A3114">
      <w:pPr>
        <w:pStyle w:val="normal"/>
        <w:ind w:firstLine="709"/>
        <w:rPr>
          <w:lang w:val="en-US"/>
        </w:rPr>
      </w:pPr>
      <w:r w:rsidRPr="00E6088D">
        <w:rPr>
          <w:lang w:val="en-US"/>
        </w:rPr>
        <w:t>7. Zaharov N.S. Programma «REGRESS». Rukovodstvo pol'zovatelja [The program "REGRESS". User manual]</w:t>
      </w:r>
      <w:r w:rsidR="007415B1" w:rsidRPr="007415B1">
        <w:rPr>
          <w:lang w:val="en-US"/>
        </w:rPr>
        <w:t>.</w:t>
      </w:r>
      <w:r w:rsidRPr="00E6088D">
        <w:rPr>
          <w:lang w:val="en-US"/>
        </w:rPr>
        <w:t xml:space="preserve"> Tjumen': TjumGNGU, 1999.  52 </w:t>
      </w:r>
      <w:r>
        <w:t>р</w:t>
      </w:r>
      <w:r w:rsidRPr="00E6088D">
        <w:rPr>
          <w:lang w:val="en-US"/>
        </w:rPr>
        <w:t>.</w:t>
      </w:r>
    </w:p>
    <w:p w:rsidR="00D32420" w:rsidRPr="00E6088D" w:rsidRDefault="001A3114">
      <w:pPr>
        <w:pStyle w:val="normal"/>
        <w:widowControl w:val="0"/>
        <w:ind w:firstLine="709"/>
        <w:rPr>
          <w:lang w:val="en-US"/>
        </w:rPr>
      </w:pPr>
      <w:r w:rsidRPr="00E6088D">
        <w:rPr>
          <w:lang w:val="en-US"/>
        </w:rPr>
        <w:t>8. Polovko, A.M. Osnovy teorii nadezhnosti. Praktikum [</w:t>
      </w:r>
      <w:r w:rsidRPr="00E6088D">
        <w:rPr>
          <w:color w:val="222222"/>
          <w:lang w:val="en-US"/>
        </w:rPr>
        <w:t>Basic theory of reliability. Workshop</w:t>
      </w:r>
      <w:r w:rsidRPr="00E6088D">
        <w:rPr>
          <w:lang w:val="en-US"/>
        </w:rPr>
        <w:t>]. SPb.: BHV-Peterburg, 2006. 560 p.</w:t>
      </w:r>
    </w:p>
    <w:p w:rsidR="00D32420" w:rsidRPr="00E6088D" w:rsidRDefault="001A3114">
      <w:pPr>
        <w:pStyle w:val="normal"/>
        <w:ind w:firstLine="709"/>
        <w:rPr>
          <w:lang w:val="en-US"/>
        </w:rPr>
      </w:pPr>
      <w:bookmarkStart w:id="0" w:name="h.gjdgxs" w:colFirst="0" w:colLast="0"/>
      <w:bookmarkEnd w:id="0"/>
      <w:r w:rsidRPr="00E6088D">
        <w:rPr>
          <w:lang w:val="en-US"/>
        </w:rPr>
        <w:lastRenderedPageBreak/>
        <w:t>9. Permjakov</w:t>
      </w:r>
      <w:r w:rsidR="007415B1" w:rsidRPr="007415B1">
        <w:rPr>
          <w:lang w:val="en-US"/>
        </w:rPr>
        <w:t xml:space="preserve"> </w:t>
      </w:r>
      <w:r w:rsidR="007415B1" w:rsidRPr="00E6088D">
        <w:rPr>
          <w:lang w:val="en-US"/>
        </w:rPr>
        <w:t>V.N.</w:t>
      </w:r>
      <w:r w:rsidRPr="00E6088D">
        <w:rPr>
          <w:lang w:val="en-US"/>
        </w:rPr>
        <w:t>, Novoselov</w:t>
      </w:r>
      <w:r w:rsidR="007415B1" w:rsidRPr="007415B1">
        <w:rPr>
          <w:lang w:val="en-US"/>
        </w:rPr>
        <w:t xml:space="preserve"> </w:t>
      </w:r>
      <w:r w:rsidR="007415B1" w:rsidRPr="00E6088D">
        <w:rPr>
          <w:lang w:val="en-US"/>
        </w:rPr>
        <w:t>O.A.</w:t>
      </w:r>
      <w:r w:rsidRPr="00E6088D">
        <w:rPr>
          <w:lang w:val="en-US"/>
        </w:rPr>
        <w:t>, Makarova</w:t>
      </w:r>
      <w:r w:rsidR="007415B1" w:rsidRPr="007415B1">
        <w:rPr>
          <w:lang w:val="en-US"/>
        </w:rPr>
        <w:t xml:space="preserve"> </w:t>
      </w:r>
      <w:r w:rsidR="007415B1" w:rsidRPr="00E6088D">
        <w:rPr>
          <w:lang w:val="en-US"/>
        </w:rPr>
        <w:t>A.N.</w:t>
      </w:r>
      <w:r w:rsidRPr="00E6088D">
        <w:rPr>
          <w:lang w:val="en-US"/>
        </w:rPr>
        <w:t xml:space="preserve"> Inženernyj vestnik Dona</w:t>
      </w:r>
      <w:r w:rsidR="007415B1" w:rsidRPr="007415B1">
        <w:rPr>
          <w:lang w:val="en-US"/>
        </w:rPr>
        <w:t xml:space="preserve"> </w:t>
      </w:r>
      <w:r w:rsidR="007415B1" w:rsidRPr="007415B1">
        <w:rPr>
          <w:rFonts w:eastAsia="Calibri"/>
          <w:lang w:val="en-US"/>
        </w:rPr>
        <w:t>(</w:t>
      </w:r>
      <w:r w:rsidR="007415B1" w:rsidRPr="008F1AD1">
        <w:rPr>
          <w:rFonts w:eastAsia="Calibri"/>
          <w:lang w:val="en-US"/>
        </w:rPr>
        <w:t>Rus</w:t>
      </w:r>
      <w:r w:rsidR="007415B1" w:rsidRPr="007415B1">
        <w:rPr>
          <w:rFonts w:eastAsia="Calibri"/>
          <w:lang w:val="en-US"/>
        </w:rPr>
        <w:t>)</w:t>
      </w:r>
      <w:r w:rsidR="007415B1" w:rsidRPr="007415B1">
        <w:rPr>
          <w:lang w:val="en-US"/>
        </w:rPr>
        <w:t>,</w:t>
      </w:r>
      <w:r w:rsidRPr="00E6088D">
        <w:rPr>
          <w:lang w:val="en-US"/>
        </w:rPr>
        <w:t xml:space="preserve"> 2014.  №2. URL: ivdon.ru/ru/magazine/archive/n2y2014/2435.</w:t>
      </w:r>
    </w:p>
    <w:p w:rsidR="00D32420" w:rsidRPr="00E6088D" w:rsidRDefault="001A3114">
      <w:pPr>
        <w:pStyle w:val="normal"/>
        <w:ind w:firstLine="709"/>
        <w:rPr>
          <w:lang w:val="en-US"/>
        </w:rPr>
      </w:pPr>
      <w:r w:rsidRPr="00E6088D">
        <w:rPr>
          <w:lang w:val="en-US"/>
        </w:rPr>
        <w:t>10. Zaharov</w:t>
      </w:r>
      <w:r w:rsidR="007415B1" w:rsidRPr="007415B1">
        <w:rPr>
          <w:lang w:val="en-US"/>
        </w:rPr>
        <w:t xml:space="preserve"> </w:t>
      </w:r>
      <w:r w:rsidR="007415B1" w:rsidRPr="00E6088D">
        <w:rPr>
          <w:lang w:val="en-US"/>
        </w:rPr>
        <w:t>N.S.</w:t>
      </w:r>
      <w:r w:rsidRPr="00E6088D">
        <w:rPr>
          <w:lang w:val="en-US"/>
        </w:rPr>
        <w:t>, Tekut'ev</w:t>
      </w:r>
      <w:r w:rsidR="007415B1" w:rsidRPr="007415B1">
        <w:rPr>
          <w:lang w:val="en-US"/>
        </w:rPr>
        <w:t xml:space="preserve"> </w:t>
      </w:r>
      <w:r w:rsidR="007415B1" w:rsidRPr="00E6088D">
        <w:rPr>
          <w:lang w:val="en-US"/>
        </w:rPr>
        <w:t xml:space="preserve">L.A. </w:t>
      </w:r>
      <w:r w:rsidRPr="00E6088D">
        <w:rPr>
          <w:lang w:val="en-US"/>
        </w:rPr>
        <w:t xml:space="preserve"> </w:t>
      </w:r>
      <w:r w:rsidR="007415B1" w:rsidRPr="00E6088D">
        <w:rPr>
          <w:lang w:val="en-US"/>
        </w:rPr>
        <w:t>Inženernyj vestnik Dona</w:t>
      </w:r>
      <w:r w:rsidR="007415B1" w:rsidRPr="007415B1">
        <w:rPr>
          <w:lang w:val="en-US"/>
        </w:rPr>
        <w:t xml:space="preserve"> </w:t>
      </w:r>
      <w:r w:rsidR="007415B1" w:rsidRPr="007415B1">
        <w:rPr>
          <w:rFonts w:eastAsia="Calibri"/>
          <w:lang w:val="en-US"/>
        </w:rPr>
        <w:t>(</w:t>
      </w:r>
      <w:r w:rsidR="007415B1" w:rsidRPr="008F1AD1">
        <w:rPr>
          <w:rFonts w:eastAsia="Calibri"/>
          <w:lang w:val="en-US"/>
        </w:rPr>
        <w:t>Rus</w:t>
      </w:r>
      <w:r w:rsidR="007415B1" w:rsidRPr="007415B1">
        <w:rPr>
          <w:rFonts w:eastAsia="Calibri"/>
          <w:lang w:val="en-US"/>
        </w:rPr>
        <w:t>)</w:t>
      </w:r>
      <w:r w:rsidR="007415B1" w:rsidRPr="007415B1">
        <w:rPr>
          <w:lang w:val="en-US"/>
        </w:rPr>
        <w:t>,</w:t>
      </w:r>
      <w:r w:rsidR="007415B1" w:rsidRPr="00E6088D">
        <w:rPr>
          <w:lang w:val="en-US"/>
        </w:rPr>
        <w:t xml:space="preserve"> </w:t>
      </w:r>
      <w:r w:rsidRPr="00E6088D">
        <w:rPr>
          <w:lang w:val="en-US"/>
        </w:rPr>
        <w:t>2014.  №3. URL: ivdon.ru/ru/magazine/archive/n3y2014/2506.</w:t>
      </w:r>
    </w:p>
    <w:p w:rsidR="00D32420" w:rsidRPr="00E6088D" w:rsidRDefault="00D32420">
      <w:pPr>
        <w:pStyle w:val="normal"/>
        <w:widowControl w:val="0"/>
        <w:ind w:firstLine="709"/>
        <w:rPr>
          <w:lang w:val="en-US"/>
        </w:rPr>
      </w:pPr>
    </w:p>
    <w:p w:rsidR="00D32420" w:rsidRPr="00E6088D" w:rsidRDefault="00D32420">
      <w:pPr>
        <w:pStyle w:val="normal"/>
        <w:widowControl w:val="0"/>
        <w:ind w:firstLine="709"/>
        <w:rPr>
          <w:lang w:val="en-US"/>
        </w:rPr>
      </w:pPr>
    </w:p>
    <w:p w:rsidR="00D32420" w:rsidRPr="00E6088D" w:rsidRDefault="00D32420">
      <w:pPr>
        <w:pStyle w:val="normal"/>
        <w:ind w:firstLine="709"/>
        <w:rPr>
          <w:lang w:val="en-US"/>
        </w:rPr>
      </w:pPr>
    </w:p>
    <w:p w:rsidR="00D32420" w:rsidRPr="00E6088D" w:rsidRDefault="00D32420">
      <w:pPr>
        <w:pStyle w:val="normal"/>
        <w:ind w:firstLine="709"/>
        <w:rPr>
          <w:lang w:val="en-US"/>
        </w:rPr>
      </w:pPr>
    </w:p>
    <w:sectPr w:rsidR="00D32420" w:rsidRPr="00E6088D" w:rsidSect="00E608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59" w:rsidRDefault="00502B59" w:rsidP="00D32420">
      <w:pPr>
        <w:spacing w:line="240" w:lineRule="auto"/>
      </w:pPr>
      <w:r>
        <w:separator/>
      </w:r>
    </w:p>
  </w:endnote>
  <w:endnote w:type="continuationSeparator" w:id="0">
    <w:p w:rsidR="00502B59" w:rsidRDefault="00502B59" w:rsidP="00D32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8C" w:rsidRDefault="00FE068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6A" w:rsidRDefault="003C7A68" w:rsidP="0011246A">
    <w:pPr>
      <w:pStyle w:val="a7"/>
      <w:jc w:val="right"/>
      <w:rPr>
        <w:color w:val="107DE6"/>
        <w:sz w:val="20"/>
        <w:szCs w:val="20"/>
        <w:shd w:val="clear" w:color="auto" w:fill="FFFFFF"/>
      </w:rPr>
    </w:pPr>
    <w:r w:rsidRPr="003C7A68">
      <w:rPr>
        <w:rFonts w:ascii="Helvetica" w:hAnsi="Helvetica" w:cs="Helvetica"/>
        <w:noProof/>
        <w:sz w:val="24"/>
      </w:rPr>
      <w:pict>
        <v:line id="_x0000_s2053" style="position:absolute;left:0;text-align:left;z-index:251665408" from="5.4pt,2.6pt" to="464.4pt,2.6pt" strokecolor="#107de6" strokeweight="4.5pt">
          <v:stroke linestyle="thinThick"/>
        </v:line>
      </w:pict>
    </w:r>
  </w:p>
  <w:p w:rsidR="00D32420" w:rsidRPr="0011246A" w:rsidRDefault="0011246A" w:rsidP="0011246A">
    <w:pPr>
      <w:pStyle w:val="a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>
      <w:rPr>
        <w:color w:val="107DE6"/>
        <w:sz w:val="20"/>
        <w:szCs w:val="20"/>
        <w:shd w:val="clear" w:color="auto" w:fill="FFFFFF"/>
      </w:rPr>
      <w:t>2007–201</w:t>
    </w:r>
    <w:r w:rsidRPr="00327213">
      <w:rPr>
        <w:color w:val="107DE6"/>
        <w:sz w:val="20"/>
        <w:szCs w:val="20"/>
        <w:shd w:val="clear" w:color="auto" w:fill="FFFFFF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8C" w:rsidRDefault="00FE06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59" w:rsidRDefault="00502B59" w:rsidP="00D32420">
      <w:pPr>
        <w:spacing w:line="240" w:lineRule="auto"/>
      </w:pPr>
      <w:r>
        <w:separator/>
      </w:r>
    </w:p>
  </w:footnote>
  <w:footnote w:type="continuationSeparator" w:id="0">
    <w:p w:rsidR="00502B59" w:rsidRDefault="00502B59" w:rsidP="00D324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8C" w:rsidRDefault="00FE06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8D" w:rsidRPr="007B084A" w:rsidRDefault="00E6088D" w:rsidP="00E6088D">
    <w:pPr>
      <w:pStyle w:val="a5"/>
      <w:ind w:left="567"/>
      <w:jc w:val="left"/>
      <w:rPr>
        <w:rStyle w:val="ab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>
      <w:rPr>
        <w:b/>
        <w:noProof/>
        <w:color w:val="107DE6"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8" name="Рисунок 2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b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7415B1">
      <w:rPr>
        <w:rStyle w:val="ab"/>
        <w:b w:val="0"/>
        <w:bCs w:val="0"/>
        <w:color w:val="107DE6"/>
        <w:sz w:val="20"/>
        <w:szCs w:val="20"/>
        <w:u w:color="000080"/>
        <w:shd w:val="clear" w:color="auto" w:fill="FFFFFF"/>
      </w:rPr>
      <w:t>3</w:t>
    </w:r>
    <w:r w:rsidRPr="007B084A">
      <w:rPr>
        <w:rStyle w:val="ab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>
      <w:rPr>
        <w:rStyle w:val="ab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>
      <w:rPr>
        <w:rStyle w:val="ab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7B084A">
      <w:rPr>
        <w:rStyle w:val="ab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E6088D" w:rsidRPr="005B7991" w:rsidRDefault="00E6088D" w:rsidP="00E6088D">
    <w:pPr>
      <w:pStyle w:val="a5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b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FE068C">
      <w:rPr>
        <w:rStyle w:val="ab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b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FE068C">
      <w:rPr>
        <w:rStyle w:val="ab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b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FE068C">
      <w:rPr>
        <w:rStyle w:val="ab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b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FE068C">
      <w:rPr>
        <w:rStyle w:val="ab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b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FE068C">
      <w:rPr>
        <w:rStyle w:val="ab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b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7415B1" w:rsidRPr="00FE068C">
      <w:rPr>
        <w:rStyle w:val="ab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</w:t>
    </w:r>
    <w:r w:rsidRPr="007B084A">
      <w:rPr>
        <w:rStyle w:val="ab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FE068C">
      <w:rPr>
        <w:rStyle w:val="ab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>
      <w:rPr>
        <w:rStyle w:val="ab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FE068C">
      <w:rPr>
        <w:rStyle w:val="ab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FE068C">
      <w:rPr>
        <w:rStyle w:val="ab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3180</w:t>
    </w:r>
  </w:p>
  <w:p w:rsidR="00E6088D" w:rsidRPr="00630289" w:rsidRDefault="00E6088D" w:rsidP="00E6088D">
    <w:pPr>
      <w:pStyle w:val="a5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D32420" w:rsidRPr="00E6088D" w:rsidRDefault="003C7A68" w:rsidP="00E6088D">
    <w:pPr>
      <w:pStyle w:val="a5"/>
      <w:rPr>
        <w:b/>
        <w:bCs/>
        <w:color w:val="000080"/>
        <w:sz w:val="24"/>
        <w:u w:color="000080"/>
      </w:rPr>
    </w:pPr>
    <w:r w:rsidRPr="003C7A68">
      <w:rPr>
        <w:b/>
        <w:bCs/>
        <w:noProof/>
        <w:color w:val="0000FF"/>
        <w:sz w:val="24"/>
      </w:rPr>
      <w:pict>
        <v:line id="_x0000_s2049" style="position:absolute;left:0;text-align:left;z-index:251662336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8C" w:rsidRDefault="00FE06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4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2420"/>
    <w:rsid w:val="0011246A"/>
    <w:rsid w:val="00161040"/>
    <w:rsid w:val="001A3114"/>
    <w:rsid w:val="002738A6"/>
    <w:rsid w:val="0039703E"/>
    <w:rsid w:val="003C7A68"/>
    <w:rsid w:val="00410485"/>
    <w:rsid w:val="00502B59"/>
    <w:rsid w:val="00585243"/>
    <w:rsid w:val="007415B1"/>
    <w:rsid w:val="008672FD"/>
    <w:rsid w:val="00A170AD"/>
    <w:rsid w:val="00B124C5"/>
    <w:rsid w:val="00D32420"/>
    <w:rsid w:val="00E6088D"/>
    <w:rsid w:val="00EE7E48"/>
    <w:rsid w:val="00FE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85"/>
  </w:style>
  <w:style w:type="paragraph" w:styleId="1">
    <w:name w:val="heading 1"/>
    <w:basedOn w:val="normal"/>
    <w:next w:val="normal"/>
    <w:rsid w:val="00D3242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3242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32420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normal"/>
    <w:next w:val="normal"/>
    <w:rsid w:val="00D3242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3242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3242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32420"/>
  </w:style>
  <w:style w:type="table" w:customStyle="1" w:styleId="TableNormal">
    <w:name w:val="Table Normal"/>
    <w:rsid w:val="00D324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32420"/>
    <w:pPr>
      <w:keepNext/>
      <w:keepLines/>
      <w:spacing w:line="240" w:lineRule="auto"/>
      <w:jc w:val="center"/>
    </w:pPr>
    <w:rPr>
      <w:b/>
      <w:sz w:val="36"/>
      <w:szCs w:val="36"/>
    </w:rPr>
  </w:style>
  <w:style w:type="paragraph" w:styleId="a4">
    <w:name w:val="Subtitle"/>
    <w:basedOn w:val="normal"/>
    <w:next w:val="normal"/>
    <w:rsid w:val="00D3242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D3242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"/>
    <w:rsid w:val="00D3242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header"/>
    <w:basedOn w:val="a"/>
    <w:link w:val="a6"/>
    <w:uiPriority w:val="99"/>
    <w:unhideWhenUsed/>
    <w:rsid w:val="00E6088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88D"/>
  </w:style>
  <w:style w:type="paragraph" w:styleId="a7">
    <w:name w:val="footer"/>
    <w:basedOn w:val="a"/>
    <w:link w:val="a8"/>
    <w:uiPriority w:val="99"/>
    <w:unhideWhenUsed/>
    <w:rsid w:val="00E6088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88D"/>
  </w:style>
  <w:style w:type="paragraph" w:styleId="a9">
    <w:name w:val="Balloon Text"/>
    <w:basedOn w:val="a"/>
    <w:link w:val="aa"/>
    <w:uiPriority w:val="99"/>
    <w:semiHidden/>
    <w:unhideWhenUsed/>
    <w:rsid w:val="00E60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88D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E6088D"/>
    <w:rPr>
      <w:b/>
      <w:bCs/>
    </w:rPr>
  </w:style>
  <w:style w:type="character" w:customStyle="1" w:styleId="apple-converted-space">
    <w:name w:val="apple-converted-space"/>
    <w:basedOn w:val="a0"/>
    <w:rsid w:val="00E60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3</cp:revision>
  <dcterms:created xsi:type="dcterms:W3CDTF">2015-09-14T12:45:00Z</dcterms:created>
  <dcterms:modified xsi:type="dcterms:W3CDTF">2015-09-18T08:19:00Z</dcterms:modified>
</cp:coreProperties>
</file>