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8" w:rsidRDefault="003201D8" w:rsidP="00B405FE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Природные ресурсы Арктики и экономические интересы </w:t>
      </w:r>
      <w:r w:rsidRPr="003248D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инляндии</w:t>
      </w:r>
    </w:p>
    <w:p w:rsidR="003201D8" w:rsidRDefault="003201D8" w:rsidP="005B7EF9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201D8" w:rsidRPr="003248D8" w:rsidRDefault="00B405FE" w:rsidP="00B405FE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Н. </w:t>
      </w:r>
      <w:r w:rsidR="003201D8">
        <w:rPr>
          <w:b/>
          <w:sz w:val="28"/>
          <w:szCs w:val="28"/>
        </w:rPr>
        <w:t>Рудаков,</w:t>
      </w:r>
      <w:r w:rsidRPr="00B40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 Р. </w:t>
      </w:r>
      <w:r w:rsidR="003201D8">
        <w:rPr>
          <w:b/>
          <w:sz w:val="28"/>
          <w:szCs w:val="28"/>
        </w:rPr>
        <w:t xml:space="preserve"> Шегельман </w:t>
      </w:r>
    </w:p>
    <w:p w:rsidR="003201D8" w:rsidRDefault="003201D8" w:rsidP="005B7E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3201D8" w:rsidRPr="00CD0F24" w:rsidRDefault="003201D8" w:rsidP="005B7EF9">
      <w:pPr>
        <w:spacing w:line="360" w:lineRule="auto"/>
        <w:ind w:firstLine="735"/>
        <w:jc w:val="both"/>
        <w:rPr>
          <w:sz w:val="28"/>
          <w:szCs w:val="28"/>
        </w:rPr>
      </w:pPr>
      <w:r w:rsidRPr="00CD0F24">
        <w:rPr>
          <w:sz w:val="28"/>
          <w:szCs w:val="28"/>
        </w:rPr>
        <w:t xml:space="preserve">Изменение климатических условий </w:t>
      </w:r>
      <w:r>
        <w:rPr>
          <w:sz w:val="28"/>
          <w:szCs w:val="28"/>
        </w:rPr>
        <w:t xml:space="preserve">и </w:t>
      </w:r>
      <w:r w:rsidRPr="00CD0F24">
        <w:rPr>
          <w:sz w:val="28"/>
          <w:szCs w:val="28"/>
        </w:rPr>
        <w:t xml:space="preserve">в Арктике </w:t>
      </w:r>
      <w:r>
        <w:rPr>
          <w:sz w:val="28"/>
          <w:szCs w:val="28"/>
        </w:rPr>
        <w:t xml:space="preserve">и наличие на ее территории уникальных природных ресурсов </w:t>
      </w:r>
      <w:r w:rsidRPr="00CD0F24">
        <w:rPr>
          <w:sz w:val="28"/>
          <w:szCs w:val="28"/>
        </w:rPr>
        <w:t>вынуждает большинство приарктических государств активно отстаивать свои национальные интересы (либо территориальные требования, либо претензии на природные ресурсы), за влияние в регионе  разворачивается жесткая международная конкуренция. Восемь стран имеют обширные территории в Арктике (США, Канада, Россия, Дания – через Гренландию, Финляндия, Швеция и Исландия).</w:t>
      </w:r>
    </w:p>
    <w:p w:rsidR="003201D8" w:rsidRPr="00BF0B89" w:rsidRDefault="003201D8" w:rsidP="005B7EF9">
      <w:pPr>
        <w:pStyle w:val="ad"/>
        <w:spacing w:before="0" w:beforeAutospacing="0" w:after="0" w:afterAutospacing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F0B89">
        <w:rPr>
          <w:rFonts w:ascii="Times New Roman" w:hAnsi="Times New Roman"/>
          <w:color w:val="auto"/>
          <w:sz w:val="28"/>
          <w:szCs w:val="28"/>
        </w:rPr>
        <w:t xml:space="preserve">Все это не случайно, поскольку в числе открытых на акватории Баренцева моря месторождений нефти и газа уникальное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BF0B89">
        <w:rPr>
          <w:rFonts w:ascii="Times New Roman" w:hAnsi="Times New Roman"/>
          <w:color w:val="auto"/>
          <w:sz w:val="28"/>
          <w:szCs w:val="28"/>
        </w:rPr>
        <w:t xml:space="preserve"> Штокмановское, крупные</w:t>
      </w:r>
      <w:r>
        <w:rPr>
          <w:rFonts w:ascii="Times New Roman" w:hAnsi="Times New Roman"/>
          <w:color w:val="auto"/>
          <w:sz w:val="28"/>
          <w:szCs w:val="28"/>
        </w:rPr>
        <w:t xml:space="preserve"> и средние месторождения</w:t>
      </w:r>
      <w:r w:rsidRPr="00BF0B89">
        <w:rPr>
          <w:rFonts w:ascii="Times New Roman" w:hAnsi="Times New Roman"/>
          <w:color w:val="auto"/>
          <w:sz w:val="28"/>
          <w:szCs w:val="28"/>
        </w:rPr>
        <w:t>. На шельфе Карского моря открыты уникальны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F0B89">
        <w:rPr>
          <w:rFonts w:ascii="Times New Roman" w:hAnsi="Times New Roman"/>
          <w:color w:val="auto"/>
          <w:sz w:val="28"/>
          <w:szCs w:val="28"/>
        </w:rPr>
        <w:t xml:space="preserve"> Русановское и Ленинградское газоконденсатны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F0B89">
        <w:rPr>
          <w:rFonts w:ascii="Times New Roman" w:hAnsi="Times New Roman"/>
          <w:color w:val="auto"/>
          <w:sz w:val="28"/>
          <w:szCs w:val="28"/>
        </w:rPr>
        <w:t xml:space="preserve"> месторождения</w:t>
      </w:r>
      <w:r>
        <w:rPr>
          <w:rFonts w:ascii="Times New Roman" w:hAnsi="Times New Roman"/>
          <w:color w:val="auto"/>
          <w:sz w:val="28"/>
          <w:szCs w:val="28"/>
        </w:rPr>
        <w:t>. В</w:t>
      </w:r>
      <w:r w:rsidRPr="00BF0B89">
        <w:rPr>
          <w:rFonts w:ascii="Times New Roman" w:hAnsi="Times New Roman"/>
          <w:color w:val="auto"/>
          <w:sz w:val="28"/>
          <w:szCs w:val="28"/>
        </w:rPr>
        <w:t xml:space="preserve"> пределах материковой части Арктики </w:t>
      </w:r>
      <w:r>
        <w:rPr>
          <w:rFonts w:ascii="Times New Roman" w:hAnsi="Times New Roman"/>
          <w:color w:val="auto"/>
          <w:sz w:val="28"/>
          <w:szCs w:val="28"/>
        </w:rPr>
        <w:t>сконцентрированы</w:t>
      </w:r>
      <w:r w:rsidRPr="00BF0B89">
        <w:rPr>
          <w:rFonts w:ascii="Times New Roman" w:hAnsi="Times New Roman"/>
          <w:color w:val="auto"/>
          <w:sz w:val="28"/>
          <w:szCs w:val="28"/>
        </w:rPr>
        <w:t xml:space="preserve"> уникальные запасы и прогнозные ресурсы медно никелевых руд, олова, платиноидов, агрохимических руд, редких металлов и редкоземельных элементов, крупные запасы золота, алмазов, вольфрама, ртути, черных </w:t>
      </w:r>
      <w:r>
        <w:rPr>
          <w:rFonts w:ascii="Times New Roman" w:hAnsi="Times New Roman"/>
          <w:color w:val="auto"/>
          <w:sz w:val="28"/>
          <w:szCs w:val="28"/>
        </w:rPr>
        <w:t>металлов и др</w:t>
      </w:r>
      <w:r w:rsidRPr="00BF0B89">
        <w:rPr>
          <w:rFonts w:ascii="Times New Roman" w:hAnsi="Times New Roman"/>
          <w:color w:val="auto"/>
          <w:sz w:val="28"/>
          <w:szCs w:val="28"/>
        </w:rPr>
        <w:t>.</w:t>
      </w:r>
    </w:p>
    <w:p w:rsidR="003201D8" w:rsidRPr="00BF0B89" w:rsidRDefault="003201D8" w:rsidP="005B7E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На конференции «Нефть и газ российской Арктики» президент Российского газового общества Павел Завальный сообщил, что суммарные извлекаемые ресурсы российской Арктики оцениваются в 106 млрд т нефтяного эквивалента, а запасы газа оцениваются в 69,5 трлн кубометров. П. Завальный добавил, что за Полярным кругом располагается около 60 крупных углеводородных месторождений, из которых 43 – в российском секторе. Ранее начальные суммарные ресурсы российской Арктики оценивались в 76 млрд т в нефтяном эквиваленте или 52 % от арктических запасов по всему миру. В целом, по оценкам экспертов, только на геологоразведочное обеспечение освоения арктического шельфа на период </w:t>
      </w:r>
      <w:r w:rsidRPr="00BF0B89">
        <w:rPr>
          <w:sz w:val="28"/>
          <w:szCs w:val="28"/>
        </w:rPr>
        <w:lastRenderedPageBreak/>
        <w:t>до 2030 года потребуется около 3,5 трлн руб. Судовое обеспечение обойдется в сумму порядка 6,5 трлн руб.</w:t>
      </w:r>
      <w:r>
        <w:rPr>
          <w:sz w:val="28"/>
          <w:szCs w:val="28"/>
        </w:rPr>
        <w:t xml:space="preserve"> [</w:t>
      </w:r>
      <w:r w:rsidRPr="00773A99">
        <w:rPr>
          <w:sz w:val="28"/>
          <w:szCs w:val="28"/>
        </w:rPr>
        <w:t>1</w:t>
      </w:r>
      <w:r>
        <w:rPr>
          <w:sz w:val="28"/>
          <w:szCs w:val="28"/>
        </w:rPr>
        <w:t xml:space="preserve"> – 2].</w:t>
      </w:r>
      <w:r w:rsidRPr="00BF0B89">
        <w:rPr>
          <w:sz w:val="28"/>
          <w:szCs w:val="28"/>
        </w:rPr>
        <w:t xml:space="preserve"> </w:t>
      </w:r>
    </w:p>
    <w:p w:rsidR="003201D8" w:rsidRPr="00BF0B89" w:rsidRDefault="003201D8" w:rsidP="005B7E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>С учетом изложенного, в Петрозаводском государственном университете в рамках исследования достаточно широкого спектра опыта социально-экономического развития Финляндии и международного взаимодействия в этой сфере [</w:t>
      </w:r>
      <w:r w:rsidRPr="00773A99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773A99">
        <w:rPr>
          <w:sz w:val="28"/>
          <w:szCs w:val="28"/>
        </w:rPr>
        <w:t>7</w:t>
      </w:r>
      <w:r w:rsidRPr="00BF0B89">
        <w:rPr>
          <w:sz w:val="28"/>
          <w:szCs w:val="28"/>
        </w:rPr>
        <w:t xml:space="preserve">] и др. </w:t>
      </w:r>
      <w:r>
        <w:rPr>
          <w:sz w:val="28"/>
          <w:szCs w:val="28"/>
        </w:rPr>
        <w:t>изучаются</w:t>
      </w:r>
      <w:r w:rsidRPr="00BF0B89">
        <w:rPr>
          <w:sz w:val="28"/>
          <w:szCs w:val="28"/>
        </w:rPr>
        <w:t xml:space="preserve"> некоторые аспекты экономических и социальных интересов Финляндии в Арктике.</w:t>
      </w:r>
    </w:p>
    <w:p w:rsidR="003201D8" w:rsidRPr="00BF0B89" w:rsidRDefault="003201D8" w:rsidP="005B7E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Не вызывает сомнения, что интерес к Арктике обусловлен ее богатыми природными ресурсами. Однако вопрос о «национальной принадлежности» и, соответственно, присвоении этих богатств до сих пор остается спорным. Безусловно, в первом ряду претендентов страны, имеющие выход к побережью Северного Ледовитого океана. Однако поучаствовать в «арктическом процессе» готовы и многие другие. Среди них – Финляндия, не имеющая арктического побережья и территориальных претензий в Арктике. 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 Примечательно, что защита собственных, в первую очередь, экономических, интересов в Арктике большинством стран часто вуалируется  экологической риторикой. Финляндия в данном случае не исключение, кроме того, она делает упор также на защите права коренных и малочисленных народов, проживающих в Арктике, участвовать в принятии решений, касающихся региона.</w:t>
      </w:r>
    </w:p>
    <w:p w:rsidR="003201D8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Финляндия стала одной из первых стран, проявивших инициативу в этом направлении: в результате ее усилий была организована первая конференция по защите окружающей среды в Арктике (г. Рованиеми, 1991г.), а в 1996 году был учрежден Арктический Совет, основой которого стала «Стратегия защиты окружающей среды в Арктике». Как зачинатель процессов международного сотрудничества в Арктике, Финляндия старается также укрепить влияние Европейского Союза, уделяя </w:t>
      </w:r>
      <w:r>
        <w:rPr>
          <w:sz w:val="28"/>
          <w:szCs w:val="28"/>
        </w:rPr>
        <w:t xml:space="preserve">при этом </w:t>
      </w:r>
      <w:r w:rsidRPr="00BF0B89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>и</w:t>
      </w:r>
      <w:r w:rsidRPr="00BF0B89">
        <w:rPr>
          <w:sz w:val="28"/>
          <w:szCs w:val="28"/>
        </w:rPr>
        <w:t xml:space="preserve"> взаимодействию с Россией.</w:t>
      </w:r>
    </w:p>
    <w:p w:rsidR="003201D8" w:rsidRPr="00773A9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Финляндия была седьмой страной подготовившей проект арктической стратегии, которая концентрируется на следующих приоритетных </w:t>
      </w:r>
      <w:r w:rsidRPr="00BF0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задачах: </w:t>
      </w:r>
      <w:r>
        <w:rPr>
          <w:sz w:val="28"/>
          <w:szCs w:val="28"/>
        </w:rPr>
        <w:lastRenderedPageBreak/>
        <w:t>безопасность, окружающая среда, экономика, инфраструктура, проблемы коренных народов, учреждений и Европейского Союза. Стратегия является отправной позицией в формировании арктической стратегии Финляндии</w:t>
      </w: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773A99">
        <w:rPr>
          <w:sz w:val="28"/>
          <w:szCs w:val="28"/>
        </w:rPr>
        <w:t>[8].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>Основным программным документом, определяющим цели и задачи Финляндии в Арктике, является «</w:t>
      </w:r>
      <w:bookmarkStart w:id="0" w:name="bookmark14"/>
      <w:r w:rsidRPr="00BF0B89">
        <w:rPr>
          <w:sz w:val="28"/>
          <w:szCs w:val="28"/>
        </w:rPr>
        <w:t>Арктическая стратегия» (</w:t>
      </w:r>
      <w:smartTag w:uri="urn:schemas-microsoft-com:office:smarttags" w:element="metricconverter">
        <w:smartTagPr>
          <w:attr w:name="ProductID" w:val="2010 г"/>
        </w:smartTagPr>
        <w:r w:rsidRPr="00BF0B89">
          <w:rPr>
            <w:sz w:val="28"/>
            <w:szCs w:val="28"/>
          </w:rPr>
          <w:t>2010 г</w:t>
        </w:r>
      </w:smartTag>
      <w:r w:rsidRPr="00BF0B89">
        <w:rPr>
          <w:sz w:val="28"/>
          <w:szCs w:val="28"/>
        </w:rPr>
        <w:t>.)</w:t>
      </w:r>
      <w:r w:rsidRPr="005B7EF9">
        <w:rPr>
          <w:sz w:val="28"/>
          <w:szCs w:val="28"/>
        </w:rPr>
        <w:t>.</w:t>
      </w:r>
      <w:r w:rsidRPr="00BF0B89">
        <w:rPr>
          <w:sz w:val="28"/>
          <w:szCs w:val="28"/>
        </w:rPr>
        <w:t xml:space="preserve"> </w:t>
      </w:r>
      <w:bookmarkEnd w:id="0"/>
      <w:r w:rsidRPr="00BF0B89">
        <w:rPr>
          <w:sz w:val="28"/>
          <w:szCs w:val="28"/>
        </w:rPr>
        <w:t>В ней Финляндия позиционирует себя в качестве одного из главных экспертов по Арктике. Свои ноу-хау в этой области Финляндия намерена в надлежащее время обменять на долю доходов от развития данного региона. Одним из направлений, которые данный кабинет министров планирует развивать в первую очередь – содействие финским предпринимателям в развитии бизнес-связей с Мурманском (высоко оцениваются перспективы развития транспортных потоков, в особенности после освоения Штокманского месторождения), для чего планируется усилить представительство Финляндии в этом городе.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Для укрепления своих позиций Финляндия использует большой опыт арктических исследований: несколько биологических исследовательских станций в Лапландии, «Арктический центр» </w:t>
      </w:r>
      <w:r>
        <w:rPr>
          <w:sz w:val="28"/>
          <w:szCs w:val="28"/>
        </w:rPr>
        <w:t>–</w:t>
      </w:r>
      <w:r w:rsidRPr="00BF0B89">
        <w:rPr>
          <w:sz w:val="28"/>
          <w:szCs w:val="28"/>
        </w:rPr>
        <w:t xml:space="preserve"> исследовательский институт, аффинированный к Лапландскому университету, центр арктической медицины в университете г.</w:t>
      </w:r>
      <w:r>
        <w:rPr>
          <w:sz w:val="28"/>
          <w:szCs w:val="28"/>
        </w:rPr>
        <w:t xml:space="preserve"> </w:t>
      </w:r>
      <w:r w:rsidRPr="00BF0B89">
        <w:rPr>
          <w:sz w:val="28"/>
          <w:szCs w:val="28"/>
        </w:rPr>
        <w:t>Оулу. При этом акцент делается на экологических исследованиях.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Вместе с тем, Финляндия расширяет свои исследования в морской сфере. В 2010  одним из комитетов парламента Финляндии </w:t>
      </w:r>
      <w:r>
        <w:rPr>
          <w:sz w:val="28"/>
          <w:szCs w:val="28"/>
        </w:rPr>
        <w:t xml:space="preserve">был </w:t>
      </w:r>
      <w:r w:rsidRPr="00BF0B89">
        <w:rPr>
          <w:sz w:val="28"/>
          <w:szCs w:val="28"/>
        </w:rPr>
        <w:t>подготов</w:t>
      </w:r>
      <w:r>
        <w:rPr>
          <w:sz w:val="28"/>
          <w:szCs w:val="28"/>
        </w:rPr>
        <w:t>лен</w:t>
      </w:r>
      <w:r w:rsidRPr="00BF0B89">
        <w:rPr>
          <w:sz w:val="28"/>
          <w:szCs w:val="28"/>
        </w:rPr>
        <w:t xml:space="preserve"> доклад «Россия 2030», в соответствии с которым Финляндия должна подготовить программу развития арктического транспорта, энергии и экологических технологий.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В Хельсинки состоялся семинар «Новое направление – деятельность в Арктике», приуроченный к запуску Технологическим агентством Финляндии ТЕКЕС новой программы «Арктика», направленной на привлечение финских компаний к созданию новой продукции, решений и услуг для арктических условий в таких сферах, как экологические технологии, арктическое </w:t>
      </w:r>
      <w:r w:rsidRPr="00BF0B89">
        <w:rPr>
          <w:sz w:val="28"/>
          <w:szCs w:val="28"/>
        </w:rPr>
        <w:lastRenderedPageBreak/>
        <w:t>мореплавание, морская промышленность, сооружения, системы и решения для работы на шельфе и др. Общий объем финансирования – 100 млн. евро, из которых 45 млн. – средства Агентства ТЕКЕС, остальное – средства предприятий.</w:t>
      </w:r>
    </w:p>
    <w:p w:rsidR="003201D8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>На семинаре была представлена запускаемая в 2015 году Академией Финляндии четырехгодичная «Арктическая исс</w:t>
      </w:r>
      <w:r>
        <w:rPr>
          <w:sz w:val="28"/>
          <w:szCs w:val="28"/>
        </w:rPr>
        <w:t>л</w:t>
      </w:r>
      <w:r w:rsidRPr="00BF0B89">
        <w:rPr>
          <w:sz w:val="28"/>
          <w:szCs w:val="28"/>
        </w:rPr>
        <w:t xml:space="preserve">едовательская программа» (объем финансирования – 11 млн. евро). Финским компаниям и исследовательским учреждениям предлагается активнее искать свою нишу на глобальном рынке, непосредственно связанном с деятельностью в суровых арктических условиях. По представленным в ходе семинара оценкам, в так называемую «арктическую деятельность» (арктическое судостроение, транспортировку грузов по северным маршрутам, борьбу с нефтяными разливами, строительство инфраструктуры, добычу полезных ископаемых в арктических условиях и др.), до 2020 года в глобальном масштабе будет инвестировано около 240 млрд. евро. </w:t>
      </w:r>
    </w:p>
    <w:p w:rsidR="003201D8" w:rsidRPr="00A0422E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 xml:space="preserve">Финляндия в последнее время уже неоднократно заявляла, что является одной из самых развитых стран в сфере арктических технологий, но при этом на практике не удавалось получить значимые заказы в тех странах, которые наиболее активно используют арктические технологии (Норвегия, Россия, Канада). Вышеуказанная программа должна способствовать финским компаниям, прежде всего малого и среднего бизнеса, объединяться в консорциумы, сети, исследовательские группы для получения доступа к </w:t>
      </w:r>
      <w:r w:rsidRPr="00A0422E">
        <w:rPr>
          <w:sz w:val="28"/>
          <w:szCs w:val="28"/>
        </w:rPr>
        <w:t>финансированию своих исследований и в дальнейшем – коммерциализации разработок.</w:t>
      </w:r>
    </w:p>
    <w:p w:rsidR="003201D8" w:rsidRPr="006446B7" w:rsidRDefault="003201D8" w:rsidP="00A0422E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422E">
        <w:rPr>
          <w:sz w:val="28"/>
          <w:szCs w:val="28"/>
        </w:rPr>
        <w:t>Перспективы собственно экономической деятельности Финляндии в Арктической зоне связываются с</w:t>
      </w:r>
      <w:r w:rsidRPr="006446B7">
        <w:rPr>
          <w:sz w:val="28"/>
          <w:szCs w:val="28"/>
        </w:rPr>
        <w:t xml:space="preserve"> тем, что финские</w:t>
      </w:r>
      <w:r>
        <w:rPr>
          <w:sz w:val="28"/>
          <w:szCs w:val="28"/>
        </w:rPr>
        <w:t xml:space="preserve"> «ноу-хау» должны усилить роль Финляндии в качестве международного эксперта по вопросам Арктики и более эффективно использовать финских экспертов в сфере зимнего судоходства, транспорта и судостроения, а также извлечь выгоду для финских компаний, привлеченных к участию в крупных и глобальных </w:t>
      </w:r>
      <w:r>
        <w:rPr>
          <w:sz w:val="28"/>
          <w:szCs w:val="28"/>
        </w:rPr>
        <w:lastRenderedPageBreak/>
        <w:t>арктических проектов</w:t>
      </w:r>
      <w:r w:rsidRPr="00A0422E">
        <w:rPr>
          <w:sz w:val="28"/>
          <w:szCs w:val="28"/>
        </w:rPr>
        <w:t xml:space="preserve"> [9]: </w:t>
      </w:r>
    </w:p>
    <w:p w:rsidR="003201D8" w:rsidRPr="00D732D1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В. А. Шлямин [10], проблемы Арктики все больше входят в практическую плоскость, появляются перспективы освоения разнообразных природных ресурсов Арктики, а положительный опыт сотрудничества России и Финляндии может служить стартовой площадкой для диалога о совмещении стратегий деятельности в Арктическом регионе заинтересованных в этом стран Северной Европы и всего Европейского союза.</w:t>
      </w:r>
    </w:p>
    <w:p w:rsidR="003201D8" w:rsidRPr="00BF0B89" w:rsidRDefault="003201D8" w:rsidP="005B7EF9">
      <w:pPr>
        <w:spacing w:line="360" w:lineRule="auto"/>
        <w:ind w:firstLine="709"/>
        <w:jc w:val="both"/>
        <w:rPr>
          <w:sz w:val="28"/>
          <w:szCs w:val="28"/>
        </w:rPr>
      </w:pPr>
      <w:r w:rsidRPr="00BF0B89">
        <w:rPr>
          <w:sz w:val="28"/>
          <w:szCs w:val="28"/>
        </w:rPr>
        <w:t>Таким образом, намерения и экономические интересы Финляндии в Арктике выглядят достаточно серьезными и стратегическими. Уделяя основное внимание механизма международного сотрудничества, Финляндия не упускает из внимания перспективы экономического сотрудничества, в том числе с Россией.</w:t>
      </w:r>
    </w:p>
    <w:p w:rsidR="003201D8" w:rsidRDefault="003201D8" w:rsidP="005B7EF9">
      <w:pPr>
        <w:pStyle w:val="a6"/>
        <w:spacing w:line="360" w:lineRule="auto"/>
        <w:jc w:val="center"/>
        <w:rPr>
          <w:sz w:val="28"/>
          <w:szCs w:val="28"/>
        </w:rPr>
      </w:pPr>
    </w:p>
    <w:p w:rsidR="003201D8" w:rsidRPr="00B405FE" w:rsidRDefault="003201D8" w:rsidP="005B7EF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405FE">
        <w:rPr>
          <w:b/>
          <w:sz w:val="28"/>
          <w:szCs w:val="28"/>
        </w:rPr>
        <w:t>Список литературы</w:t>
      </w:r>
      <w:r w:rsidR="00B405FE" w:rsidRPr="00B405FE">
        <w:rPr>
          <w:b/>
          <w:sz w:val="28"/>
          <w:szCs w:val="28"/>
        </w:rPr>
        <w:t>:</w:t>
      </w:r>
    </w:p>
    <w:p w:rsidR="003201D8" w:rsidRPr="005A0E2C" w:rsidRDefault="003201D8" w:rsidP="005B7EF9">
      <w:pPr>
        <w:pStyle w:val="a6"/>
        <w:spacing w:line="360" w:lineRule="auto"/>
        <w:jc w:val="both"/>
        <w:rPr>
          <w:sz w:val="28"/>
          <w:szCs w:val="28"/>
        </w:rPr>
      </w:pPr>
    </w:p>
    <w:p w:rsidR="003201D8" w:rsidRPr="005A0E2C" w:rsidRDefault="003201D8" w:rsidP="00CA4323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A0E2C">
        <w:rPr>
          <w:sz w:val="28"/>
          <w:szCs w:val="28"/>
        </w:rPr>
        <w:t xml:space="preserve">Извлекаемые углеводородные ресурсы российской Арктики оцениваются в 106 млрд тонн </w:t>
      </w:r>
      <w:r w:rsidRPr="005A0E2C">
        <w:rPr>
          <w:rFonts w:eastAsia="SchoolBook-Regular"/>
          <w:iCs/>
          <w:sz w:val="28"/>
          <w:szCs w:val="28"/>
        </w:rPr>
        <w:t>[Электронный ресурс]</w:t>
      </w:r>
      <w:r w:rsidRPr="005A0E2C">
        <w:rPr>
          <w:sz w:val="28"/>
          <w:szCs w:val="28"/>
        </w:rPr>
        <w:t>. – Режим доступа:</w:t>
      </w:r>
      <w:r w:rsidRPr="005B7EF9">
        <w:rPr>
          <w:sz w:val="28"/>
          <w:szCs w:val="28"/>
        </w:rPr>
        <w:t xml:space="preserve"> </w:t>
      </w:r>
      <w:r w:rsidRPr="00B405FE">
        <w:rPr>
          <w:sz w:val="28"/>
          <w:szCs w:val="28"/>
        </w:rPr>
        <w:t>http://itar-tass.com/ekonomika/1121534</w:t>
      </w:r>
      <w:r w:rsidRPr="005A0E2C">
        <w:rPr>
          <w:sz w:val="28"/>
          <w:szCs w:val="28"/>
        </w:rPr>
        <w:t xml:space="preserve"> (доступ свободный). – Загл. с экрана. – Яз. рус.</w:t>
      </w:r>
    </w:p>
    <w:p w:rsidR="003201D8" w:rsidRPr="005A0E2C" w:rsidRDefault="003201D8" w:rsidP="00B12AD2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A0E2C">
        <w:rPr>
          <w:sz w:val="28"/>
          <w:szCs w:val="28"/>
        </w:rPr>
        <w:t xml:space="preserve">В Хельсинки состоялся семинар «Новое направление – деятельность в Арктике» </w:t>
      </w:r>
      <w:r w:rsidRPr="005A0E2C">
        <w:rPr>
          <w:rFonts w:eastAsia="SchoolBook-Regular"/>
          <w:iCs/>
          <w:sz w:val="28"/>
          <w:szCs w:val="28"/>
        </w:rPr>
        <w:t>[Электронный ресурс]</w:t>
      </w:r>
      <w:r w:rsidRPr="005A0E2C">
        <w:rPr>
          <w:sz w:val="28"/>
          <w:szCs w:val="28"/>
        </w:rPr>
        <w:t xml:space="preserve">. – Режим доступа:  </w:t>
      </w:r>
      <w:r w:rsidRPr="00B405FE">
        <w:rPr>
          <w:sz w:val="28"/>
          <w:szCs w:val="28"/>
          <w:lang w:val="en-US"/>
        </w:rPr>
        <w:t>http</w:t>
      </w:r>
      <w:r w:rsidRPr="00B405FE">
        <w:rPr>
          <w:sz w:val="28"/>
          <w:szCs w:val="28"/>
        </w:rPr>
        <w:t>://</w:t>
      </w:r>
      <w:r w:rsidRPr="00B405FE">
        <w:rPr>
          <w:sz w:val="28"/>
          <w:szCs w:val="28"/>
          <w:lang w:val="en-US"/>
        </w:rPr>
        <w:t>www</w:t>
      </w:r>
      <w:r w:rsidRPr="00B405FE">
        <w:rPr>
          <w:sz w:val="28"/>
          <w:szCs w:val="28"/>
        </w:rPr>
        <w:t>.</w:t>
      </w:r>
      <w:r w:rsidRPr="00B405FE">
        <w:rPr>
          <w:sz w:val="28"/>
          <w:szCs w:val="28"/>
          <w:lang w:val="en-US"/>
        </w:rPr>
        <w:t>rusfintrade</w:t>
      </w:r>
      <w:r w:rsidRPr="00B405FE">
        <w:rPr>
          <w:sz w:val="28"/>
          <w:szCs w:val="28"/>
        </w:rPr>
        <w:t>.</w:t>
      </w:r>
      <w:r w:rsidRPr="00B405FE">
        <w:rPr>
          <w:sz w:val="28"/>
          <w:szCs w:val="28"/>
          <w:lang w:val="en-US"/>
        </w:rPr>
        <w:t>ru</w:t>
      </w:r>
      <w:r w:rsidRPr="00B405FE">
        <w:rPr>
          <w:sz w:val="28"/>
          <w:szCs w:val="28"/>
        </w:rPr>
        <w:t>/</w:t>
      </w:r>
      <w:r w:rsidRPr="00B405FE">
        <w:rPr>
          <w:sz w:val="28"/>
          <w:szCs w:val="28"/>
          <w:lang w:val="en-US"/>
        </w:rPr>
        <w:t>site</w:t>
      </w:r>
      <w:r w:rsidRPr="00B405FE">
        <w:rPr>
          <w:sz w:val="28"/>
          <w:szCs w:val="28"/>
        </w:rPr>
        <w:t>/</w:t>
      </w:r>
      <w:r w:rsidRPr="00B405FE">
        <w:rPr>
          <w:sz w:val="28"/>
          <w:szCs w:val="28"/>
          <w:lang w:val="en-US"/>
        </w:rPr>
        <w:t>article</w:t>
      </w:r>
      <w:r w:rsidRPr="00B405FE">
        <w:rPr>
          <w:sz w:val="28"/>
          <w:szCs w:val="28"/>
        </w:rPr>
        <w:t>/2905</w:t>
      </w:r>
      <w:r w:rsidRPr="005A0E2C">
        <w:rPr>
          <w:sz w:val="28"/>
          <w:szCs w:val="28"/>
        </w:rPr>
        <w:t xml:space="preserve"> (д</w:t>
      </w:r>
      <w:r>
        <w:rPr>
          <w:sz w:val="28"/>
          <w:szCs w:val="28"/>
        </w:rPr>
        <w:t>ата обращения 27.04.13</w:t>
      </w:r>
      <w:r w:rsidRPr="005A0E2C">
        <w:rPr>
          <w:sz w:val="28"/>
          <w:szCs w:val="28"/>
        </w:rPr>
        <w:t>). – Загл. с экрана. – Яз. рус.</w:t>
      </w:r>
    </w:p>
    <w:p w:rsidR="003201D8" w:rsidRPr="005A0E2C" w:rsidRDefault="003201D8" w:rsidP="00B12AD2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A0E2C">
        <w:rPr>
          <w:sz w:val="28"/>
          <w:szCs w:val="28"/>
        </w:rPr>
        <w:t xml:space="preserve">Шегельман, И.Р., Васильев, А.С. </w:t>
      </w:r>
      <w:hyperlink r:id="rId7" w:history="1">
        <w:r w:rsidRPr="005A0E2C">
          <w:rPr>
            <w:rStyle w:val="a5"/>
            <w:color w:val="auto"/>
            <w:sz w:val="28"/>
            <w:szCs w:val="28"/>
            <w:u w:val="none"/>
          </w:rPr>
          <w:t>Анализ путей повышения конкурентоспособности энергетической биомассы</w:t>
        </w:r>
      </w:hyperlink>
      <w:r w:rsidRPr="005A0E2C">
        <w:rPr>
          <w:sz w:val="28"/>
          <w:szCs w:val="28"/>
        </w:rPr>
        <w:t xml:space="preserve"> // Инженерный вестник Дона. – 2013. – № 3 </w:t>
      </w:r>
      <w:r w:rsidRPr="005A0E2C">
        <w:rPr>
          <w:rFonts w:eastAsia="SchoolBook-Regular"/>
          <w:iCs/>
          <w:sz w:val="28"/>
          <w:szCs w:val="28"/>
        </w:rPr>
        <w:t>[Электронный ресурс]</w:t>
      </w:r>
      <w:r w:rsidRPr="005A0E2C">
        <w:rPr>
          <w:sz w:val="28"/>
          <w:szCs w:val="28"/>
        </w:rPr>
        <w:t xml:space="preserve">. – Режим доступа: </w:t>
      </w:r>
      <w:hyperlink r:id="rId8" w:history="1"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5A0E2C">
          <w:rPr>
            <w:rStyle w:val="a5"/>
            <w:color w:val="auto"/>
            <w:sz w:val="28"/>
            <w:szCs w:val="28"/>
            <w:u w:val="none"/>
          </w:rPr>
          <w:t>://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A0E2C">
          <w:rPr>
            <w:rStyle w:val="a5"/>
            <w:color w:val="auto"/>
            <w:sz w:val="28"/>
            <w:szCs w:val="28"/>
            <w:u w:val="none"/>
          </w:rPr>
          <w:t>.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ivdon</w:t>
        </w:r>
        <w:r w:rsidRPr="005A0E2C">
          <w:rPr>
            <w:rStyle w:val="a5"/>
            <w:color w:val="auto"/>
            <w:sz w:val="28"/>
            <w:szCs w:val="28"/>
            <w:u w:val="none"/>
          </w:rPr>
          <w:t>.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magazine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archive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n</w:t>
        </w:r>
        <w:r w:rsidRPr="005A0E2C">
          <w:rPr>
            <w:rStyle w:val="a5"/>
            <w:color w:val="auto"/>
            <w:sz w:val="28"/>
            <w:szCs w:val="28"/>
            <w:u w:val="none"/>
          </w:rPr>
          <w:t>3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y</w:t>
        </w:r>
        <w:r w:rsidRPr="005A0E2C">
          <w:rPr>
            <w:rStyle w:val="a5"/>
            <w:color w:val="auto"/>
            <w:sz w:val="28"/>
            <w:szCs w:val="28"/>
            <w:u w:val="none"/>
          </w:rPr>
          <w:t>2013/1769</w:t>
        </w:r>
      </w:hyperlink>
      <w:r w:rsidRPr="005A0E2C">
        <w:rPr>
          <w:sz w:val="28"/>
          <w:szCs w:val="28"/>
        </w:rPr>
        <w:t xml:space="preserve"> (доступ свободный). – Загл. с экрана. – Яз. рус.</w:t>
      </w:r>
    </w:p>
    <w:p w:rsidR="003201D8" w:rsidRPr="005A0E2C" w:rsidRDefault="003201D8" w:rsidP="00B12AD2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A0E2C">
        <w:rPr>
          <w:rFonts w:eastAsia="TimesNewRomanPS-BoldMT"/>
          <w:bCs/>
          <w:sz w:val="28"/>
          <w:szCs w:val="28"/>
        </w:rPr>
        <w:lastRenderedPageBreak/>
        <w:t xml:space="preserve">Шегельман, И.Р., Гладков, С.С. </w:t>
      </w:r>
      <w:r w:rsidRPr="005A0E2C">
        <w:rPr>
          <w:bCs/>
          <w:sz w:val="28"/>
          <w:szCs w:val="28"/>
        </w:rPr>
        <w:t>Организационные изменения процессов транспортировки электроэнергии на Европейском Севере</w:t>
      </w:r>
      <w:r w:rsidRPr="005A0E2C">
        <w:rPr>
          <w:sz w:val="28"/>
          <w:szCs w:val="28"/>
        </w:rPr>
        <w:t xml:space="preserve"> [Текст] // Глобальный научный потенциал. – 2013. – № 9(30). – С. 105-107.</w:t>
      </w:r>
    </w:p>
    <w:p w:rsidR="003201D8" w:rsidRPr="005A0E2C" w:rsidRDefault="003201D8" w:rsidP="00B12AD2">
      <w:pPr>
        <w:pStyle w:val="21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5A0E2C">
        <w:rPr>
          <w:rFonts w:eastAsia="TimesNewRomanPS-BoldMT"/>
          <w:bCs/>
          <w:sz w:val="28"/>
          <w:szCs w:val="28"/>
        </w:rPr>
        <w:t xml:space="preserve">Шегельман, И.Р., Гладков, С.С. </w:t>
      </w:r>
      <w:hyperlink r:id="rId9" w:history="1">
        <w:r w:rsidRPr="005A0E2C">
          <w:rPr>
            <w:rStyle w:val="a5"/>
            <w:color w:val="auto"/>
            <w:sz w:val="28"/>
            <w:szCs w:val="28"/>
            <w:u w:val="none"/>
          </w:rPr>
          <w:t>Развитие рынка электроэнергии: мнение финских специалистов</w:t>
        </w:r>
      </w:hyperlink>
      <w:r w:rsidRPr="005A0E2C">
        <w:rPr>
          <w:sz w:val="28"/>
          <w:szCs w:val="28"/>
        </w:rPr>
        <w:t xml:space="preserve"> // Инженерный вестник Дона. 2013. – №. 3 </w:t>
      </w:r>
      <w:r w:rsidRPr="005A0E2C">
        <w:rPr>
          <w:rFonts w:eastAsia="SchoolBook-Regular"/>
          <w:iCs/>
          <w:sz w:val="28"/>
          <w:szCs w:val="28"/>
        </w:rPr>
        <w:t>[Электронный ресурс]</w:t>
      </w:r>
      <w:r w:rsidRPr="005A0E2C">
        <w:rPr>
          <w:sz w:val="28"/>
          <w:szCs w:val="28"/>
        </w:rPr>
        <w:t xml:space="preserve">. – Режим доступа: </w:t>
      </w:r>
      <w:hyperlink r:id="rId10" w:history="1"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5A0E2C">
          <w:rPr>
            <w:rStyle w:val="a5"/>
            <w:color w:val="auto"/>
            <w:sz w:val="28"/>
            <w:szCs w:val="28"/>
            <w:u w:val="none"/>
          </w:rPr>
          <w:t>://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A0E2C">
          <w:rPr>
            <w:rStyle w:val="a5"/>
            <w:color w:val="auto"/>
            <w:sz w:val="28"/>
            <w:szCs w:val="28"/>
            <w:u w:val="none"/>
          </w:rPr>
          <w:t>.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ivdon</w:t>
        </w:r>
        <w:r w:rsidRPr="005A0E2C">
          <w:rPr>
            <w:rStyle w:val="a5"/>
            <w:color w:val="auto"/>
            <w:sz w:val="28"/>
            <w:szCs w:val="28"/>
            <w:u w:val="none"/>
          </w:rPr>
          <w:t>.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magazine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archive</w:t>
        </w:r>
        <w:r w:rsidRPr="005A0E2C">
          <w:rPr>
            <w:rStyle w:val="a5"/>
            <w:color w:val="auto"/>
            <w:sz w:val="28"/>
            <w:szCs w:val="28"/>
            <w:u w:val="none"/>
          </w:rPr>
          <w:t>/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n</w:t>
        </w:r>
        <w:r w:rsidRPr="005A0E2C">
          <w:rPr>
            <w:rStyle w:val="a5"/>
            <w:color w:val="auto"/>
            <w:sz w:val="28"/>
            <w:szCs w:val="28"/>
            <w:u w:val="none"/>
          </w:rPr>
          <w:t>3</w:t>
        </w:r>
        <w:r w:rsidRPr="005A0E2C">
          <w:rPr>
            <w:rStyle w:val="a5"/>
            <w:color w:val="auto"/>
            <w:sz w:val="28"/>
            <w:szCs w:val="28"/>
            <w:u w:val="none"/>
            <w:lang w:val="en-US"/>
          </w:rPr>
          <w:t>y</w:t>
        </w:r>
        <w:r w:rsidRPr="005A0E2C">
          <w:rPr>
            <w:rStyle w:val="a5"/>
            <w:color w:val="auto"/>
            <w:sz w:val="28"/>
            <w:szCs w:val="28"/>
            <w:u w:val="none"/>
          </w:rPr>
          <w:t>2013/1752</w:t>
        </w:r>
      </w:hyperlink>
      <w:r w:rsidRPr="005A0E2C">
        <w:rPr>
          <w:sz w:val="28"/>
          <w:szCs w:val="28"/>
        </w:rPr>
        <w:t xml:space="preserve"> (доступ свободный). – Загл. с экрана. – Яз. рус.</w:t>
      </w:r>
    </w:p>
    <w:p w:rsidR="003201D8" w:rsidRPr="005A0E2C" w:rsidRDefault="003201D8" w:rsidP="00B12AD2">
      <w:pPr>
        <w:pStyle w:val="21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5A0E2C">
        <w:rPr>
          <w:rFonts w:eastAsia="TimesNewRomanPS-BoldMT"/>
          <w:bCs/>
          <w:sz w:val="28"/>
          <w:szCs w:val="28"/>
        </w:rPr>
        <w:t xml:space="preserve">Шегельман, И.Р., Гладков, С.С. </w:t>
      </w:r>
      <w:r w:rsidRPr="005A0E2C">
        <w:rPr>
          <w:rStyle w:val="A90"/>
          <w:color w:val="auto"/>
          <w:sz w:val="28"/>
          <w:szCs w:val="28"/>
        </w:rPr>
        <w:t xml:space="preserve">Состояние и направления развития транспортных связей Финляндии с Россией </w:t>
      </w:r>
      <w:r w:rsidRPr="005A0E2C">
        <w:rPr>
          <w:bCs/>
          <w:sz w:val="28"/>
          <w:szCs w:val="28"/>
        </w:rPr>
        <w:t>[Текст]</w:t>
      </w:r>
      <w:r w:rsidRPr="005A0E2C">
        <w:rPr>
          <w:sz w:val="28"/>
          <w:szCs w:val="28"/>
        </w:rPr>
        <w:t xml:space="preserve"> // Глобальный научный потенциал. – 2013. – № 10(31). – С. 136-138.</w:t>
      </w:r>
    </w:p>
    <w:p w:rsidR="003201D8" w:rsidRPr="005A0E2C" w:rsidRDefault="003201D8" w:rsidP="00B12AD2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A0E2C">
        <w:rPr>
          <w:rFonts w:eastAsia="TimesNewRomanPS-BoldMT"/>
          <w:bCs/>
          <w:sz w:val="28"/>
          <w:szCs w:val="28"/>
        </w:rPr>
        <w:t>Шегельман, И.Р., Гладков, С.С. Трансформация делового климата в Финляндии при вступлении в ВТО: мнение финских специалистов</w:t>
      </w:r>
      <w:r w:rsidRPr="005A0E2C">
        <w:rPr>
          <w:bCs/>
          <w:sz w:val="28"/>
          <w:szCs w:val="28"/>
        </w:rPr>
        <w:t xml:space="preserve"> [Текст]</w:t>
      </w:r>
      <w:r w:rsidRPr="005A0E2C">
        <w:rPr>
          <w:sz w:val="28"/>
          <w:szCs w:val="28"/>
        </w:rPr>
        <w:t xml:space="preserve"> // Наука и бизнес: пути развития. – 2013. – № 8(26). – C. 165-167.</w:t>
      </w:r>
    </w:p>
    <w:p w:rsidR="003201D8" w:rsidRPr="007E2F59" w:rsidRDefault="003201D8" w:rsidP="00B12AD2">
      <w:pPr>
        <w:pStyle w:val="a6"/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E2F59">
        <w:rPr>
          <w:rFonts w:cs="Times New Roman"/>
          <w:sz w:val="28"/>
          <w:szCs w:val="28"/>
        </w:rPr>
        <w:t xml:space="preserve">Finland’s strategy for the Arctic region </w:t>
      </w:r>
      <w:r w:rsidRPr="007E2F59">
        <w:rPr>
          <w:rFonts w:eastAsia="SchoolBook-Regular" w:cs="Times New Roman"/>
          <w:iCs/>
          <w:sz w:val="28"/>
          <w:szCs w:val="28"/>
        </w:rPr>
        <w:t>[Электронный ресурс]</w:t>
      </w:r>
      <w:r w:rsidRPr="007E2F59">
        <w:rPr>
          <w:rFonts w:cs="Times New Roman"/>
          <w:sz w:val="28"/>
          <w:szCs w:val="28"/>
        </w:rPr>
        <w:t xml:space="preserve">. – Режим доступа: </w:t>
      </w:r>
      <w:r w:rsidRPr="006446B7">
        <w:rPr>
          <w:rFonts w:cs="Times New Roman"/>
          <w:sz w:val="28"/>
          <w:szCs w:val="28"/>
        </w:rPr>
        <w:t>http://formin.finland.fi/public/download.aspx?ID=63216&amp;GUID=%7BC92863F7-1188-4975-9CC8-34EA16C26D07%7D</w:t>
      </w:r>
      <w:r w:rsidRPr="007E2F59">
        <w:rPr>
          <w:rFonts w:cs="Times New Roman"/>
          <w:sz w:val="28"/>
          <w:szCs w:val="28"/>
        </w:rPr>
        <w:t xml:space="preserve"> (доступ свободный). – Загл. с экрана. – Яз. англ.</w:t>
      </w:r>
    </w:p>
    <w:p w:rsidR="003201D8" w:rsidRPr="00D2161C" w:rsidRDefault="00D2161C" w:rsidP="00D2161C">
      <w:pPr>
        <w:pStyle w:val="a6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2161C">
        <w:rPr>
          <w:rFonts w:cs="Times New Roman"/>
          <w:sz w:val="28"/>
          <w:szCs w:val="28"/>
          <w:lang w:val="en-GB"/>
        </w:rPr>
        <w:t xml:space="preserve">Heininen Lassi </w:t>
      </w:r>
      <w:r w:rsidR="003201D8" w:rsidRPr="00D2161C">
        <w:rPr>
          <w:rFonts w:cs="Times New Roman"/>
          <w:sz w:val="28"/>
          <w:szCs w:val="28"/>
          <w:lang w:val="en-GB"/>
        </w:rPr>
        <w:t>Finland</w:t>
      </w:r>
      <w:r w:rsidR="003201D8" w:rsidRPr="00D2161C">
        <w:rPr>
          <w:rFonts w:cs="Times New Roman"/>
          <w:sz w:val="28"/>
          <w:szCs w:val="28"/>
          <w:lang w:val="en-US"/>
        </w:rPr>
        <w:t>'</w:t>
      </w:r>
      <w:r w:rsidR="003201D8" w:rsidRPr="00D2161C">
        <w:rPr>
          <w:rFonts w:cs="Times New Roman"/>
          <w:sz w:val="28"/>
          <w:szCs w:val="28"/>
          <w:lang w:val="en-GB"/>
        </w:rPr>
        <w:t>s</w:t>
      </w:r>
      <w:r w:rsidR="003201D8" w:rsidRPr="00D2161C">
        <w:rPr>
          <w:rFonts w:cs="Times New Roman"/>
          <w:sz w:val="28"/>
          <w:szCs w:val="28"/>
          <w:lang w:val="en-US"/>
        </w:rPr>
        <w:t xml:space="preserve"> </w:t>
      </w:r>
      <w:r w:rsidR="003201D8" w:rsidRPr="00D2161C">
        <w:rPr>
          <w:rFonts w:cs="Times New Roman"/>
          <w:sz w:val="28"/>
          <w:szCs w:val="28"/>
          <w:lang w:val="en-GB"/>
        </w:rPr>
        <w:t>Arctic</w:t>
      </w:r>
      <w:r w:rsidR="003201D8" w:rsidRPr="00D2161C">
        <w:rPr>
          <w:rFonts w:cs="Times New Roman"/>
          <w:sz w:val="28"/>
          <w:szCs w:val="28"/>
          <w:lang w:val="en-US"/>
        </w:rPr>
        <w:t xml:space="preserve"> </w:t>
      </w:r>
      <w:r w:rsidR="003201D8" w:rsidRPr="00D2161C">
        <w:rPr>
          <w:rFonts w:cs="Times New Roman"/>
          <w:sz w:val="28"/>
          <w:szCs w:val="28"/>
          <w:lang w:val="en-GB"/>
        </w:rPr>
        <w:t>Strategy</w:t>
      </w:r>
      <w:r w:rsidR="003201D8" w:rsidRPr="00D2161C">
        <w:rPr>
          <w:rFonts w:cs="Times New Roman"/>
          <w:sz w:val="28"/>
          <w:szCs w:val="28"/>
          <w:lang w:val="en-US"/>
        </w:rPr>
        <w:t xml:space="preserve">. – </w:t>
      </w:r>
      <w:r w:rsidR="003C7CC2" w:rsidRPr="00D2161C">
        <w:rPr>
          <w:rFonts w:cs="Times New Roman"/>
          <w:sz w:val="28"/>
          <w:szCs w:val="28"/>
          <w:lang w:val="en-US"/>
        </w:rPr>
        <w:t>Url</w:t>
      </w:r>
      <w:r w:rsidR="003201D8" w:rsidRPr="00D2161C">
        <w:rPr>
          <w:rFonts w:cs="Times New Roman"/>
          <w:sz w:val="28"/>
          <w:szCs w:val="28"/>
          <w:lang w:val="en-US"/>
        </w:rPr>
        <w:t>: http://www.geopoliticsnorth.org/index.php?option=com_content&amp;view=article&amp;id=151:june-2010-finland-recently-presented-its-first-arctic-strategy-&amp;catid=38:finland&amp;Itemid=106</w:t>
      </w:r>
    </w:p>
    <w:p w:rsidR="003201D8" w:rsidRPr="005B7EF9" w:rsidRDefault="003201D8" w:rsidP="00B12AD2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7EF9">
        <w:rPr>
          <w:sz w:val="28"/>
          <w:szCs w:val="28"/>
        </w:rPr>
        <w:t>Шлямин, В.А., Титов И.А. Финляндия в Арктике [Текст] // Россия и Финляндия: добрососедство и сотрудничество : сборник избранных ст</w:t>
      </w:r>
      <w:r>
        <w:rPr>
          <w:sz w:val="28"/>
          <w:szCs w:val="28"/>
        </w:rPr>
        <w:t>а</w:t>
      </w:r>
      <w:r w:rsidRPr="005B7EF9">
        <w:rPr>
          <w:sz w:val="28"/>
          <w:szCs w:val="28"/>
        </w:rPr>
        <w:t>тей, докладов, выступлений, интервью. – СПб. : Изд-во Политехнического университета, 2013. – 45-52 с.</w:t>
      </w:r>
    </w:p>
    <w:sectPr w:rsidR="003201D8" w:rsidRPr="005B7EF9" w:rsidSect="00E92B3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24" w:rsidRDefault="00F77824">
      <w:r>
        <w:separator/>
      </w:r>
    </w:p>
  </w:endnote>
  <w:endnote w:type="continuationSeparator" w:id="1">
    <w:p w:rsidR="00F77824" w:rsidRDefault="00F7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24" w:rsidRDefault="00F77824">
      <w:r>
        <w:separator/>
      </w:r>
    </w:p>
  </w:footnote>
  <w:footnote w:type="continuationSeparator" w:id="1">
    <w:p w:rsidR="00F77824" w:rsidRDefault="00F77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43F"/>
    <w:multiLevelType w:val="multilevel"/>
    <w:tmpl w:val="81FE8764"/>
    <w:lvl w:ilvl="0">
      <w:start w:val="1"/>
      <w:numFmt w:val="decimal"/>
      <w:lvlText w:val="%1."/>
      <w:lvlJc w:val="right"/>
      <w:pPr>
        <w:tabs>
          <w:tab w:val="num" w:pos="851"/>
        </w:tabs>
        <w:ind w:firstLine="709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B5039"/>
    <w:multiLevelType w:val="multilevel"/>
    <w:tmpl w:val="AE3CD02C"/>
    <w:lvl w:ilvl="0">
      <w:start w:val="1"/>
      <w:numFmt w:val="decimal"/>
      <w:lvlText w:val="%1."/>
      <w:lvlJc w:val="right"/>
      <w:pPr>
        <w:tabs>
          <w:tab w:val="num" w:pos="567"/>
        </w:tabs>
        <w:ind w:firstLine="425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0D7510"/>
    <w:multiLevelType w:val="multilevel"/>
    <w:tmpl w:val="BB344D80"/>
    <w:lvl w:ilvl="0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4">
    <w:nsid w:val="2BFA4672"/>
    <w:multiLevelType w:val="hybridMultilevel"/>
    <w:tmpl w:val="A99A2A88"/>
    <w:lvl w:ilvl="0" w:tplc="536CD7F2">
      <w:start w:val="1"/>
      <w:numFmt w:val="decimal"/>
      <w:lvlText w:val="%1."/>
      <w:lvlJc w:val="left"/>
      <w:pPr>
        <w:tabs>
          <w:tab w:val="num" w:pos="737"/>
        </w:tabs>
        <w:ind w:firstLine="567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 w:tplc="5EBA5842">
      <w:start w:val="1"/>
      <w:numFmt w:val="decimal"/>
      <w:lvlText w:val="%2."/>
      <w:lvlJc w:val="right"/>
      <w:pPr>
        <w:tabs>
          <w:tab w:val="num" w:pos="454"/>
        </w:tabs>
        <w:ind w:firstLine="284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6836AD"/>
    <w:multiLevelType w:val="hybridMultilevel"/>
    <w:tmpl w:val="A92ED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B8A6065"/>
    <w:multiLevelType w:val="hybridMultilevel"/>
    <w:tmpl w:val="175C6B62"/>
    <w:lvl w:ilvl="0" w:tplc="B51A4AE8">
      <w:start w:val="1"/>
      <w:numFmt w:val="decimal"/>
      <w:lvlText w:val="%1."/>
      <w:lvlJc w:val="right"/>
      <w:pPr>
        <w:tabs>
          <w:tab w:val="num" w:pos="851"/>
        </w:tabs>
        <w:ind w:firstLine="709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6817F4"/>
    <w:multiLevelType w:val="hybridMultilevel"/>
    <w:tmpl w:val="590EE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180EA8"/>
    <w:multiLevelType w:val="hybridMultilevel"/>
    <w:tmpl w:val="EB5EFB3C"/>
    <w:lvl w:ilvl="0" w:tplc="3FD0664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2FB7"/>
    <w:multiLevelType w:val="hybridMultilevel"/>
    <w:tmpl w:val="830CF4A6"/>
    <w:lvl w:ilvl="0" w:tplc="AE6ABB8A">
      <w:start w:val="1"/>
      <w:numFmt w:val="decimal"/>
      <w:lvlText w:val="%1."/>
      <w:lvlJc w:val="right"/>
      <w:pPr>
        <w:tabs>
          <w:tab w:val="num" w:pos="502"/>
        </w:tabs>
        <w:ind w:left="-65" w:firstLine="425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497AB0"/>
    <w:multiLevelType w:val="multilevel"/>
    <w:tmpl w:val="175C6B62"/>
    <w:lvl w:ilvl="0">
      <w:start w:val="1"/>
      <w:numFmt w:val="decimal"/>
      <w:lvlText w:val="%1."/>
      <w:lvlJc w:val="right"/>
      <w:pPr>
        <w:tabs>
          <w:tab w:val="num" w:pos="851"/>
        </w:tabs>
        <w:ind w:firstLine="709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ED68E5"/>
    <w:multiLevelType w:val="hybridMultilevel"/>
    <w:tmpl w:val="AE3CD02C"/>
    <w:lvl w:ilvl="0" w:tplc="98F0DEBE">
      <w:start w:val="1"/>
      <w:numFmt w:val="decimal"/>
      <w:lvlText w:val="%1."/>
      <w:lvlJc w:val="right"/>
      <w:pPr>
        <w:tabs>
          <w:tab w:val="num" w:pos="567"/>
        </w:tabs>
        <w:ind w:firstLine="425"/>
      </w:pPr>
      <w:rPr>
        <w:rFonts w:cs="Times New Roman" w:hint="default"/>
        <w:b w:val="0"/>
        <w:i w:val="0"/>
        <w:spacing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65"/>
    <w:rsid w:val="00003049"/>
    <w:rsid w:val="000121CF"/>
    <w:rsid w:val="00043A0A"/>
    <w:rsid w:val="000A40B7"/>
    <w:rsid w:val="000B7E46"/>
    <w:rsid w:val="000F63F7"/>
    <w:rsid w:val="001012D5"/>
    <w:rsid w:val="00101C15"/>
    <w:rsid w:val="00183CB5"/>
    <w:rsid w:val="001D0765"/>
    <w:rsid w:val="002312F0"/>
    <w:rsid w:val="00243849"/>
    <w:rsid w:val="00247D63"/>
    <w:rsid w:val="00273E00"/>
    <w:rsid w:val="00292F3B"/>
    <w:rsid w:val="002B6F07"/>
    <w:rsid w:val="002D07DA"/>
    <w:rsid w:val="003201D8"/>
    <w:rsid w:val="003230D3"/>
    <w:rsid w:val="003248D8"/>
    <w:rsid w:val="003343BB"/>
    <w:rsid w:val="003A0A51"/>
    <w:rsid w:val="003C7CC2"/>
    <w:rsid w:val="003D43F1"/>
    <w:rsid w:val="003D6BB4"/>
    <w:rsid w:val="003D77CB"/>
    <w:rsid w:val="0046452A"/>
    <w:rsid w:val="00472ADD"/>
    <w:rsid w:val="00477FF0"/>
    <w:rsid w:val="00524F42"/>
    <w:rsid w:val="005442E1"/>
    <w:rsid w:val="00546C49"/>
    <w:rsid w:val="00554BB7"/>
    <w:rsid w:val="00556A48"/>
    <w:rsid w:val="005A0E2C"/>
    <w:rsid w:val="005B7EF9"/>
    <w:rsid w:val="005D1AB1"/>
    <w:rsid w:val="005D7543"/>
    <w:rsid w:val="006151DB"/>
    <w:rsid w:val="00620C8D"/>
    <w:rsid w:val="0062438D"/>
    <w:rsid w:val="006446B7"/>
    <w:rsid w:val="00660D9F"/>
    <w:rsid w:val="00672599"/>
    <w:rsid w:val="006807C9"/>
    <w:rsid w:val="006A0E42"/>
    <w:rsid w:val="006C4583"/>
    <w:rsid w:val="006D2BDC"/>
    <w:rsid w:val="006F7B87"/>
    <w:rsid w:val="00721AA8"/>
    <w:rsid w:val="00730E6A"/>
    <w:rsid w:val="007526E1"/>
    <w:rsid w:val="007528E8"/>
    <w:rsid w:val="00773A99"/>
    <w:rsid w:val="00783C31"/>
    <w:rsid w:val="007A5E38"/>
    <w:rsid w:val="007C477A"/>
    <w:rsid w:val="007C4F28"/>
    <w:rsid w:val="007C738E"/>
    <w:rsid w:val="007E2F59"/>
    <w:rsid w:val="00827D95"/>
    <w:rsid w:val="00835109"/>
    <w:rsid w:val="00844F55"/>
    <w:rsid w:val="00852D53"/>
    <w:rsid w:val="008973D8"/>
    <w:rsid w:val="00945EC1"/>
    <w:rsid w:val="009943B7"/>
    <w:rsid w:val="009A62D2"/>
    <w:rsid w:val="009B23CA"/>
    <w:rsid w:val="009C5428"/>
    <w:rsid w:val="00A0422E"/>
    <w:rsid w:val="00A15FCC"/>
    <w:rsid w:val="00A44FEF"/>
    <w:rsid w:val="00A61B83"/>
    <w:rsid w:val="00A64082"/>
    <w:rsid w:val="00A7077E"/>
    <w:rsid w:val="00A96BCE"/>
    <w:rsid w:val="00AA0100"/>
    <w:rsid w:val="00AB689A"/>
    <w:rsid w:val="00B12AD2"/>
    <w:rsid w:val="00B217BF"/>
    <w:rsid w:val="00B405FE"/>
    <w:rsid w:val="00B524FB"/>
    <w:rsid w:val="00B65C5C"/>
    <w:rsid w:val="00BC123C"/>
    <w:rsid w:val="00BF0B89"/>
    <w:rsid w:val="00C15F4C"/>
    <w:rsid w:val="00C3137F"/>
    <w:rsid w:val="00C44B43"/>
    <w:rsid w:val="00C73F32"/>
    <w:rsid w:val="00C779AB"/>
    <w:rsid w:val="00C96E30"/>
    <w:rsid w:val="00CA0CA2"/>
    <w:rsid w:val="00CA4323"/>
    <w:rsid w:val="00CB0714"/>
    <w:rsid w:val="00CD0F24"/>
    <w:rsid w:val="00D213D2"/>
    <w:rsid w:val="00D2161C"/>
    <w:rsid w:val="00D30F1B"/>
    <w:rsid w:val="00D732D1"/>
    <w:rsid w:val="00DB0D33"/>
    <w:rsid w:val="00DC00A3"/>
    <w:rsid w:val="00DF520C"/>
    <w:rsid w:val="00E92B32"/>
    <w:rsid w:val="00EB3248"/>
    <w:rsid w:val="00EB57B7"/>
    <w:rsid w:val="00F161D1"/>
    <w:rsid w:val="00F26277"/>
    <w:rsid w:val="00F27BAC"/>
    <w:rsid w:val="00F56AC1"/>
    <w:rsid w:val="00F77824"/>
    <w:rsid w:val="00F8666F"/>
    <w:rsid w:val="00F87EB4"/>
    <w:rsid w:val="00F91287"/>
    <w:rsid w:val="00FA48AF"/>
    <w:rsid w:val="00FC0D14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D6BB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D07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D6BB4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7C477A"/>
    <w:rPr>
      <w:rFonts w:cs="Times New Roman"/>
      <w:color w:val="000080"/>
      <w:u w:val="single"/>
    </w:rPr>
  </w:style>
  <w:style w:type="paragraph" w:styleId="a6">
    <w:name w:val="endnote text"/>
    <w:basedOn w:val="a"/>
    <w:link w:val="a7"/>
    <w:uiPriority w:val="99"/>
    <w:rsid w:val="007C477A"/>
    <w:pPr>
      <w:widowControl w:val="0"/>
      <w:suppressLineNumbers/>
      <w:suppressAutoHyphens/>
      <w:ind w:left="283" w:hanging="283"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D6BB4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rsid w:val="007C477A"/>
    <w:rPr>
      <w:rFonts w:cs="Times New Roman"/>
      <w:vertAlign w:val="superscript"/>
    </w:rPr>
  </w:style>
  <w:style w:type="character" w:customStyle="1" w:styleId="a9">
    <w:name w:val="Символы концевой сноски"/>
    <w:basedOn w:val="a0"/>
    <w:uiPriority w:val="99"/>
    <w:rsid w:val="007C477A"/>
    <w:rPr>
      <w:rFonts w:cs="Times New Roman"/>
      <w:vertAlign w:val="superscript"/>
    </w:rPr>
  </w:style>
  <w:style w:type="character" w:customStyle="1" w:styleId="1">
    <w:name w:val="Знак концевой сноски1"/>
    <w:uiPriority w:val="99"/>
    <w:rsid w:val="007C477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660D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D6BB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60D9F"/>
    <w:rPr>
      <w:rFonts w:cs="Times New Roman"/>
      <w:vertAlign w:val="superscript"/>
    </w:rPr>
  </w:style>
  <w:style w:type="paragraph" w:styleId="ad">
    <w:name w:val="Normal (Web)"/>
    <w:basedOn w:val="a"/>
    <w:uiPriority w:val="99"/>
    <w:rsid w:val="00003049"/>
    <w:pPr>
      <w:spacing w:before="100" w:beforeAutospacing="1" w:after="100" w:afterAutospacing="1"/>
      <w:jc w:val="both"/>
    </w:pPr>
    <w:rPr>
      <w:rFonts w:ascii="Verdana" w:hAnsi="Verdana"/>
      <w:color w:val="00008B"/>
      <w:sz w:val="19"/>
      <w:szCs w:val="19"/>
    </w:rPr>
  </w:style>
  <w:style w:type="paragraph" w:styleId="21">
    <w:name w:val="Body Text Indent 2"/>
    <w:basedOn w:val="a"/>
    <w:link w:val="22"/>
    <w:uiPriority w:val="99"/>
    <w:rsid w:val="00FE17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6BB4"/>
    <w:rPr>
      <w:rFonts w:cs="Times New Roman"/>
      <w:sz w:val="24"/>
      <w:szCs w:val="24"/>
    </w:rPr>
  </w:style>
  <w:style w:type="character" w:customStyle="1" w:styleId="A90">
    <w:name w:val="A9"/>
    <w:uiPriority w:val="99"/>
    <w:rsid w:val="00FE1794"/>
    <w:rPr>
      <w:color w:val="000000"/>
      <w:sz w:val="22"/>
    </w:rPr>
  </w:style>
  <w:style w:type="character" w:customStyle="1" w:styleId="notranslate">
    <w:name w:val="notranslate"/>
    <w:basedOn w:val="a0"/>
    <w:uiPriority w:val="99"/>
    <w:rsid w:val="007E2F59"/>
    <w:rPr>
      <w:rFonts w:cs="Times New Roman"/>
    </w:rPr>
  </w:style>
  <w:style w:type="character" w:customStyle="1" w:styleId="google-src-text1">
    <w:name w:val="google-src-text1"/>
    <w:basedOn w:val="a0"/>
    <w:uiPriority w:val="99"/>
    <w:rsid w:val="007E2F59"/>
    <w:rPr>
      <w:rFonts w:cs="Times New Roman"/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3y2013/1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don.ru/magazine/archive/n3y2013/1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vdon.ru/magazine/archive/n3y2013/1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don.ru/magazine/archive/n3y2013/1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1593</Words>
  <Characters>9081</Characters>
  <Application>Microsoft Office Word</Application>
  <DocSecurity>0</DocSecurity>
  <Lines>75</Lines>
  <Paragraphs>21</Paragraphs>
  <ScaleCrop>false</ScaleCrop>
  <Company>Home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Даня</cp:lastModifiedBy>
  <cp:revision>10</cp:revision>
  <dcterms:created xsi:type="dcterms:W3CDTF">2014-04-20T06:05:00Z</dcterms:created>
  <dcterms:modified xsi:type="dcterms:W3CDTF">2014-06-18T09:13:00Z</dcterms:modified>
</cp:coreProperties>
</file>