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B5" w:rsidRDefault="00410778">
      <w:pPr>
        <w:pStyle w:val="af5"/>
      </w:pPr>
      <w:r>
        <w:t>Модели кооперации в системе социального партнерства</w:t>
      </w:r>
    </w:p>
    <w:p w:rsidR="00523FB5" w:rsidRDefault="00523FB5">
      <w:pPr>
        <w:pStyle w:val="af3"/>
        <w:shd w:val="clear" w:color="auto" w:fill="FFFFFF"/>
        <w:spacing w:before="0" w:after="0"/>
        <w:jc w:val="center"/>
        <w:rPr>
          <w:b/>
          <w:color w:val="000000"/>
        </w:rPr>
      </w:pPr>
    </w:p>
    <w:p w:rsidR="00523FB5" w:rsidRPr="00114AF7" w:rsidRDefault="00410778" w:rsidP="00114AF7">
      <w:pPr>
        <w:pStyle w:val="af6"/>
        <w:jc w:val="center"/>
        <w:rPr>
          <w:b/>
        </w:rPr>
      </w:pPr>
      <w:r w:rsidRPr="00114AF7">
        <w:rPr>
          <w:b/>
        </w:rPr>
        <w:t>Л.В.</w:t>
      </w:r>
      <w:r w:rsidR="00E251CB">
        <w:rPr>
          <w:b/>
          <w:lang w:val="en-US"/>
        </w:rPr>
        <w:t xml:space="preserve"> </w:t>
      </w:r>
      <w:r w:rsidRPr="00114AF7">
        <w:rPr>
          <w:b/>
        </w:rPr>
        <w:t>Тарасенко, Г.А.</w:t>
      </w:r>
      <w:r w:rsidR="00E251CB">
        <w:rPr>
          <w:b/>
          <w:lang w:val="en-US"/>
        </w:rPr>
        <w:t xml:space="preserve"> </w:t>
      </w:r>
      <w:r w:rsidRPr="00114AF7">
        <w:rPr>
          <w:b/>
        </w:rPr>
        <w:t>Угольницкий, В.К.</w:t>
      </w:r>
      <w:r w:rsidR="00E251CB">
        <w:rPr>
          <w:b/>
          <w:lang w:val="en-US"/>
        </w:rPr>
        <w:t xml:space="preserve"> </w:t>
      </w:r>
      <w:r w:rsidRPr="00114AF7">
        <w:rPr>
          <w:b/>
        </w:rPr>
        <w:t>Дьяченко</w:t>
      </w:r>
    </w:p>
    <w:p w:rsidR="00523FB5" w:rsidRDefault="00523FB5">
      <w:pPr>
        <w:ind w:right="-79" w:firstLine="720"/>
      </w:pPr>
    </w:p>
    <w:p w:rsidR="00523FB5" w:rsidRDefault="00410778">
      <w:pPr>
        <w:ind w:right="-79" w:firstLine="720"/>
        <w:rPr>
          <w:szCs w:val="28"/>
        </w:rPr>
      </w:pPr>
      <w:r>
        <w:rPr>
          <w:szCs w:val="28"/>
        </w:rPr>
        <w:t xml:space="preserve">Неразработанность механизмов социального партнерства, сохраняющегося разрыва связей с работодателями, социальными партнерами порождает проблему разработки концептуальных основ формирования региональной социокультурной модели социального партнерства в системе дополнительного профессионального образования (ДПО) </w:t>
      </w:r>
      <w:r w:rsidRPr="00114AF7">
        <w:rPr>
          <w:szCs w:val="28"/>
        </w:rPr>
        <w:t>[1]</w:t>
      </w:r>
      <w:r>
        <w:rPr>
          <w:szCs w:val="28"/>
        </w:rPr>
        <w:t>.</w:t>
      </w:r>
    </w:p>
    <w:p w:rsidR="00523FB5" w:rsidRDefault="00410778">
      <w:pPr>
        <w:pStyle w:val="HTML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общей теории социального управления Г.П. Зинченко рассматривает понятие «социальное партнерство» как форму взаимодействия многообразных субъектов социума (государственных институтов, корпораций, некоммерческих организаций, социальных групп и др.), позволяющую им свободно выражать свои интересы и находить цивилизованные способы их реализации [2].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определение принято авторами в качестве рабочего понятия при изучении механизмов социального взаимодействия в дополнительном профессиональном образовании, как частном случае его применения. </w:t>
      </w:r>
    </w:p>
    <w:p w:rsidR="00523FB5" w:rsidRDefault="00410778">
      <w:pPr>
        <w:spacing w:before="120"/>
        <w:ind w:firstLine="720"/>
        <w:rPr>
          <w:szCs w:val="28"/>
        </w:rPr>
      </w:pPr>
      <w:r>
        <w:rPr>
          <w:szCs w:val="28"/>
        </w:rPr>
        <w:t>Все совокупные субъекты социального партнерства в системе ДПО могут быть разделены на две группы: 1 – субъекты, вступающие во взаимодействия между собой на мезосоциальном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уровне (учреждения ДПО, органы государственной власти, работодатели); 2 – на  микросоциальном (преподавательский состав учреждений ДПО и контингент обучающихся). Таким образом, «партнерство» - это взаимодействие участников образовательного процесса, с одной стороны. С другой, социальное партнерство субъектов в системе ДПО – это отношения между коллективными субъектами, заинтересованными на определенном этапе взаимодействия в эффективности ДПО. К тому же партнерство является культурным явлением, потому что в нем отражены традиции конкретного этапа культурного развития общества. Сущность социального партнерства </w:t>
      </w:r>
      <w:r>
        <w:rPr>
          <w:szCs w:val="28"/>
        </w:rPr>
        <w:lastRenderedPageBreak/>
        <w:t xml:space="preserve">заключается в равноправном взаимодействии социальных (административно-правовых, гражданских, культурных и образовательных учреждений), производственных субъектов и бизнес-структур, направленном на целесообразное выполнение профессионально – образовательной миссии образовательным учреждением системы ДПО [3]. </w:t>
      </w:r>
    </w:p>
    <w:p w:rsidR="00523FB5" w:rsidRDefault="00410778">
      <w:pPr>
        <w:ind w:firstLine="720"/>
      </w:pPr>
      <w:r>
        <w:rPr>
          <w:szCs w:val="28"/>
        </w:rPr>
        <w:t xml:space="preserve">Из вышеизложенного вытекает целесообразность описания процессов социального партнерства вообще и в системе ДПО в частности с помощью математического аппарата теории кооперативных игр, позволяющего моделировать образование коалиций субъектов и их взаимодействие </w:t>
      </w:r>
      <w:r w:rsidRPr="00114AF7">
        <w:rPr>
          <w:szCs w:val="28"/>
        </w:rPr>
        <w:t>[</w:t>
      </w:r>
      <w:r>
        <w:rPr>
          <w:szCs w:val="28"/>
        </w:rPr>
        <w:t>4,5,6</w:t>
      </w:r>
      <w:r w:rsidRPr="00114AF7">
        <w:rPr>
          <w:szCs w:val="28"/>
        </w:rPr>
        <w:t xml:space="preserve">]. </w:t>
      </w:r>
      <w:r>
        <w:rPr>
          <w:szCs w:val="28"/>
        </w:rPr>
        <w:t xml:space="preserve">Методика моделирования социальных процессов описана авторами в работах </w:t>
      </w:r>
      <w:r w:rsidRPr="00114AF7">
        <w:rPr>
          <w:szCs w:val="28"/>
        </w:rPr>
        <w:t>[</w:t>
      </w:r>
      <w:r>
        <w:rPr>
          <w:szCs w:val="28"/>
        </w:rPr>
        <w:t>7,8,9</w:t>
      </w:r>
      <w:r w:rsidRPr="00114AF7">
        <w:rPr>
          <w:szCs w:val="28"/>
        </w:rPr>
        <w:t>]</w:t>
      </w:r>
    </w:p>
    <w:p w:rsidR="00523FB5" w:rsidRDefault="00410778">
      <w:pPr>
        <w:spacing w:before="120"/>
        <w:ind w:firstLine="720"/>
      </w:pPr>
      <w:r>
        <w:t xml:space="preserve">Удобной кооперативно-игровой моделью служат так называемые игры голосования [10]. Игра голосования с характеристической функцией </w:t>
      </w:r>
      <w:r w:rsidRPr="00523FB5">
        <w:rPr>
          <w:position w:val="1"/>
        </w:rPr>
        <w:object w:dxaOrig="262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 filled="t">
            <v:fill color2="black"/>
            <v:imagedata r:id="rId7" o:title=""/>
          </v:shape>
          <o:OLEObject Type="Embed" ProgID="Equation.3" ShapeID="_x0000_i1025" DrawAspect="Content" ObjectID="_1426542049" r:id="rId8"/>
        </w:object>
      </w:r>
      <w:r>
        <w:t>определяется формулой</w:t>
      </w:r>
    </w:p>
    <w:tbl>
      <w:tblPr>
        <w:tblW w:w="9606" w:type="dxa"/>
        <w:tblLayout w:type="fixed"/>
        <w:tblLook w:val="0000"/>
      </w:tblPr>
      <w:tblGrid>
        <w:gridCol w:w="8755"/>
        <w:gridCol w:w="851"/>
      </w:tblGrid>
      <w:tr w:rsidR="00523FB5" w:rsidTr="00B94084">
        <w:tc>
          <w:tcPr>
            <w:tcW w:w="8755" w:type="dxa"/>
            <w:shd w:val="clear" w:color="auto" w:fill="auto"/>
          </w:tcPr>
          <w:p w:rsidR="00523FB5" w:rsidRDefault="00B94084">
            <w:pPr>
              <w:jc w:val="center"/>
              <w:rPr>
                <w:szCs w:val="28"/>
              </w:rPr>
            </w:pPr>
            <w:r w:rsidRPr="00523FB5">
              <w:rPr>
                <w:position w:val="-68"/>
              </w:rPr>
              <w:object w:dxaOrig="1392" w:dyaOrig="1640">
                <v:shape id="_x0000_i1026" type="#_x0000_t75" style="width:183pt;height:81.75pt" o:ole="" filled="t">
                  <v:fill color2="black"/>
                  <v:imagedata r:id="rId9" o:title=""/>
                </v:shape>
                <o:OLEObject Type="Embed" ProgID="Equation.3" ShapeID="_x0000_i1026" DrawAspect="Content" ObjectID="_1426542050" r:id="rId10"/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FB5" w:rsidRDefault="00410778">
            <w:pPr>
              <w:jc w:val="center"/>
            </w:pPr>
            <w:r>
              <w:rPr>
                <w:szCs w:val="28"/>
              </w:rPr>
              <w:t>(1)</w:t>
            </w:r>
          </w:p>
        </w:tc>
      </w:tr>
    </w:tbl>
    <w:p w:rsidR="00523FB5" w:rsidRDefault="00523FB5">
      <w:pPr>
        <w:spacing w:before="120"/>
      </w:pPr>
    </w:p>
    <w:p w:rsidR="00523FB5" w:rsidRDefault="00410778">
      <w:r>
        <w:t xml:space="preserve">Здесь величина </w:t>
      </w:r>
      <w:r w:rsidRPr="00523FB5">
        <w:rPr>
          <w:position w:val="-1"/>
        </w:rPr>
        <w:object w:dxaOrig="649" w:dyaOrig="319">
          <v:shape id="_x0000_i1027" type="#_x0000_t75" style="width:32.25pt;height:15.75pt" o:ole="" filled="t">
            <v:fill color2="black"/>
            <v:imagedata r:id="rId11" o:title=""/>
          </v:shape>
          <o:OLEObject Type="Embed" ProgID="Equation.3" ShapeID="_x0000_i1027" DrawAspect="Content" ObjectID="_1426542051" r:id="rId12"/>
        </w:object>
      </w:r>
      <w:r>
        <w:t xml:space="preserve"> интерпретируется как число голосов, которыми располагает игрок </w:t>
      </w:r>
      <w:r w:rsidRPr="00523FB5">
        <w:rPr>
          <w:position w:val="1"/>
        </w:rPr>
        <w:object w:dxaOrig="215" w:dyaOrig="265">
          <v:shape id="_x0000_i1028" type="#_x0000_t75" style="width:10.5pt;height:13.5pt" o:ole="" filled="t">
            <v:fill color2="black"/>
            <v:imagedata r:id="rId13" o:title=""/>
          </v:shape>
          <o:OLEObject Type="Embed" ProgID="Equation.3" ShapeID="_x0000_i1028" DrawAspect="Content" ObjectID="_1426542052" r:id="rId14"/>
        </w:object>
      </w:r>
      <w:r>
        <w:t xml:space="preserve">. Таким образом, коалиция побеждает </w:t>
      </w:r>
      <w:r w:rsidRPr="00523FB5">
        <w:rPr>
          <w:position w:val="-2"/>
        </w:rPr>
        <w:object w:dxaOrig="1094" w:dyaOrig="323">
          <v:shape id="_x0000_i1029" type="#_x0000_t75" style="width:54.75pt;height:16.5pt" o:ole="" filled="t">
            <v:fill color2="black"/>
            <v:imagedata r:id="rId15" o:title=""/>
          </v:shape>
          <o:OLEObject Type="Embed" ProgID="Equation.3" ShapeID="_x0000_i1029" DrawAspect="Content" ObjectID="_1426542053" r:id="rId16"/>
        </w:object>
      </w:r>
      <w:r>
        <w:t xml:space="preserve">, если набирает не менее нужного числа голосов </w:t>
      </w:r>
      <w:r w:rsidRPr="00523FB5">
        <w:rPr>
          <w:position w:val="1"/>
        </w:rPr>
        <w:object w:dxaOrig="322" w:dyaOrig="265">
          <v:shape id="_x0000_i1030" type="#_x0000_t75" style="width:15.75pt;height:13.5pt" o:ole="" filled="t">
            <v:fill color2="black"/>
            <v:imagedata r:id="rId17" o:title=""/>
          </v:shape>
          <o:OLEObject Type="Embed" ProgID="Equation.3" ShapeID="_x0000_i1030" DrawAspect="Content" ObjectID="_1426542054" r:id="rId18"/>
        </w:object>
      </w:r>
      <w:r>
        <w:t xml:space="preserve">, и проигрывает в противном случае. Удобно задавать игру голосования строкой </w:t>
      </w:r>
      <w:r w:rsidRPr="00523FB5">
        <w:rPr>
          <w:position w:val="-3"/>
        </w:rPr>
        <w:object w:dxaOrig="1647" w:dyaOrig="352">
          <v:shape id="_x0000_i1031" type="#_x0000_t75" style="width:82.5pt;height:17.25pt" o:ole="" filled="t">
            <v:fill color2="black"/>
            <v:imagedata r:id="rId19" o:title=""/>
          </v:shape>
          <o:OLEObject Type="Embed" ProgID="Equation.3" ShapeID="_x0000_i1031" DrawAspect="Content" ObjectID="_1426542055" r:id="rId20"/>
        </w:object>
      </w:r>
      <w:r>
        <w:t>.</w:t>
      </w:r>
    </w:p>
    <w:p w:rsidR="00523FB5" w:rsidRDefault="00410778">
      <w:pPr>
        <w:ind w:firstLine="720"/>
      </w:pPr>
      <w:r>
        <w:t>В модели социального партнерства в системе дополнительного профессионального образования (ДПО) игроками являются работодатель (</w:t>
      </w:r>
      <w:r>
        <w:rPr>
          <w:lang w:val="en-US"/>
        </w:rPr>
        <w:t>i</w:t>
      </w:r>
      <w:r>
        <w:t>=1), ВУЗ (</w:t>
      </w:r>
      <w:r>
        <w:rPr>
          <w:lang w:val="en-US"/>
        </w:rPr>
        <w:t>i</w:t>
      </w:r>
      <w:r>
        <w:t>=2) и студент (</w:t>
      </w:r>
      <w:r>
        <w:rPr>
          <w:lang w:val="en-US"/>
        </w:rPr>
        <w:t>i</w:t>
      </w:r>
      <w:r>
        <w:t xml:space="preserve">=3). В общем случае можно интерпретировать 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t xml:space="preserve"> как комплексный ресурс игрока </w:t>
      </w:r>
      <w:r>
        <w:rPr>
          <w:lang w:val="en-US"/>
        </w:rPr>
        <w:t>i</w:t>
      </w:r>
      <w:r>
        <w:t xml:space="preserve">, а </w:t>
      </w:r>
      <w:r>
        <w:rPr>
          <w:lang w:val="en-US"/>
        </w:rPr>
        <w:t>Q</w:t>
      </w:r>
      <w:r>
        <w:t xml:space="preserve"> - пороговое значение ресурса, при котором социальное партнерство является эффективным. В качестве примера будем придерживаться трактовки, согласно которой </w:t>
      </w:r>
      <w:r>
        <w:rPr>
          <w:lang w:val="en-US"/>
        </w:rPr>
        <w:t>Q</w:t>
      </w:r>
      <w:r>
        <w:t xml:space="preserve"> – стоимость </w:t>
      </w:r>
      <w:r>
        <w:lastRenderedPageBreak/>
        <w:t xml:space="preserve">реализации программы ДПО, 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t xml:space="preserve"> – сумма, которую игрок </w:t>
      </w:r>
      <w:r>
        <w:rPr>
          <w:lang w:val="en-US"/>
        </w:rPr>
        <w:t>i</w:t>
      </w:r>
      <w:r>
        <w:t xml:space="preserve"> готов инвестировать в проект. Программа может быть выполнена, если участники совместно инвестируют в ее реализацию необходимую сумму </w:t>
      </w:r>
      <w:r>
        <w:rPr>
          <w:lang w:val="en-US"/>
        </w:rPr>
        <w:t>Q</w:t>
      </w:r>
      <w:r>
        <w:t>.</w:t>
      </w:r>
    </w:p>
    <w:p w:rsidR="00523FB5" w:rsidRDefault="00410778">
      <w:pPr>
        <w:ind w:firstLine="720"/>
      </w:pPr>
      <w:r>
        <w:t xml:space="preserve">Рассмотрим игру голосования вида (1). В предложенной трактовке выигрывающими являются те и только те коалиции, которые располагают необходимыми средствами для реализации программы ДПО, а решение игры показывает принцип распределения полученных доходов. </w:t>
      </w:r>
    </w:p>
    <w:p w:rsidR="00523FB5" w:rsidRPr="00114AF7" w:rsidRDefault="00410778">
      <w:pPr>
        <w:ind w:firstLine="720"/>
      </w:pPr>
      <w:r>
        <w:t xml:space="preserve">Положим для определенности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&lt;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 &lt; </w:t>
      </w:r>
      <w:r>
        <w:rPr>
          <w:lang w:val="en-US"/>
        </w:rPr>
        <w:t>q</w:t>
      </w:r>
      <w:r>
        <w:rPr>
          <w:vertAlign w:val="subscript"/>
        </w:rPr>
        <w:t xml:space="preserve">3 </w:t>
      </w:r>
      <w:r>
        <w:t xml:space="preserve">, то есть упорядочим участников по возрастанию их готовности инвестировать в программу. Будем считать также, что 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 &gt; </w:t>
      </w:r>
      <w:r>
        <w:rPr>
          <w:lang w:val="en-US"/>
        </w:rPr>
        <w:t>q</w:t>
      </w:r>
      <w:r>
        <w:rPr>
          <w:vertAlign w:val="subscript"/>
        </w:rPr>
        <w:t>3</w:t>
      </w:r>
      <w:r>
        <w:t xml:space="preserve"> (в противном случае инвестиционный ресурс третьего игрока превосходит суммарный ресурс двух остальных, и объединение становится  существенно неравноправным). Очевидно, что представляет интерес рассмотрение программ, стоимость реализации которых находится в диапазоне </w:t>
      </w:r>
      <w:r w:rsidRPr="00523FB5">
        <w:rPr>
          <w:position w:val="-1"/>
        </w:rPr>
        <w:object w:dxaOrig="2090" w:dyaOrig="319">
          <v:shape id="_x0000_i1032" type="#_x0000_t75" style="width:104.25pt;height:15.75pt" o:ole="" filled="t">
            <v:fill color2="black"/>
            <v:imagedata r:id="rId21" o:title=""/>
          </v:shape>
          <o:OLEObject Type="Embed" ProgID="Equation.3" ShapeID="_x0000_i1032" DrawAspect="Content" ObjectID="_1426542056" r:id="rId22"/>
        </w:object>
      </w:r>
      <w:r>
        <w:t xml:space="preserve"> Действительно, если </w:t>
      </w:r>
    </w:p>
    <w:p w:rsidR="00523FB5" w:rsidRDefault="00410778">
      <w:r>
        <w:rPr>
          <w:lang w:val="en-US"/>
        </w:rPr>
        <w:t>Q</w:t>
      </w:r>
      <w:r>
        <w:t xml:space="preserve"> ≤ </w:t>
      </w:r>
      <w:r>
        <w:rPr>
          <w:lang w:val="en-US"/>
        </w:rPr>
        <w:t>q</w:t>
      </w:r>
      <w:r>
        <w:rPr>
          <w:vertAlign w:val="subscript"/>
        </w:rPr>
        <w:t>3</w:t>
      </w:r>
      <w:r>
        <w:t xml:space="preserve"> , то третий игрок может реализовать программу самостоятельно, и необходимости в объединении не возникает. Если же </w:t>
      </w:r>
      <w:r>
        <w:rPr>
          <w:lang w:val="en-US"/>
        </w:rPr>
        <w:t>Q</w:t>
      </w:r>
      <w:r>
        <w:t xml:space="preserve"> &gt;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3</w:t>
      </w:r>
      <w:r>
        <w:t xml:space="preserve"> , то даже объединения ресурсов всех игроков все равно недостаточно для реализации программы. Проведем анализ всех возможных случаев соотношения ресурсов игроков и стоимости программы при сделанных предположениях.</w:t>
      </w:r>
    </w:p>
    <w:p w:rsidR="00523FB5" w:rsidRDefault="00410778">
      <w:pPr>
        <w:ind w:firstLine="720"/>
      </w:pPr>
      <w:r>
        <w:t xml:space="preserve">1. </w:t>
      </w:r>
      <w:r>
        <w:rPr>
          <w:lang w:val="en-US"/>
        </w:rPr>
        <w:t>q</w:t>
      </w:r>
      <w:r>
        <w:rPr>
          <w:vertAlign w:val="subscript"/>
        </w:rPr>
        <w:t>3</w:t>
      </w:r>
      <w:r>
        <w:t xml:space="preserve"> &lt; </w:t>
      </w:r>
      <w:r>
        <w:rPr>
          <w:lang w:val="en-US"/>
        </w:rPr>
        <w:t>Q</w:t>
      </w:r>
      <w:r>
        <w:t xml:space="preserve"> ≤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. В этом случае все одноэлементные коалиции проигрывающие, а все двухэлементные и максимальная коалиция – выигрывающие. Игра симметрична, С-ядро в ней отсутствует. Вектор Шепли имеет вид </w:t>
      </w:r>
      <w:r w:rsidRPr="00523FB5">
        <w:rPr>
          <w:position w:val="-14"/>
        </w:rPr>
        <w:object w:dxaOrig="1955" w:dyaOrig="566">
          <v:shape id="_x0000_i1033" type="#_x0000_t75" style="width:97.5pt;height:28.5pt" o:ole="" filled="t">
            <v:fill color2="black"/>
            <v:imagedata r:id="rId23" o:title=""/>
          </v:shape>
          <o:OLEObject Type="Embed" ProgID="Equation.3" ShapeID="_x0000_i1033" DrawAspect="Content" ObjectID="_1426542057" r:id="rId24"/>
        </w:object>
      </w:r>
      <w:r>
        <w:t xml:space="preserve">то есть в этом распределении все игроки получают одинаковую долю дохода от реализации программы. Имеется устойчивое множество </w:t>
      </w:r>
      <w:r w:rsidRPr="00523FB5">
        <w:rPr>
          <w:position w:val="-21"/>
        </w:rPr>
        <w:object w:dxaOrig="4171" w:dyaOrig="715">
          <v:shape id="_x0000_i1034" type="#_x0000_t75" style="width:208.5pt;height:36pt" o:ole="" filled="t">
            <v:fill color2="black"/>
            <v:imagedata r:id="rId25" o:title=""/>
          </v:shape>
          <o:OLEObject Type="Embed" ProgID="Equation.3" ShapeID="_x0000_i1034" DrawAspect="Content" ObjectID="_1426542058" r:id="rId26"/>
        </w:object>
      </w:r>
      <w:r>
        <w:t xml:space="preserve">, которое представляет собой так называемое дискриминирующее решение. Это означает, что те два игрока, которые первыми объединятся и создадут выигрывающую коалицию, </w:t>
      </w:r>
      <w:r>
        <w:lastRenderedPageBreak/>
        <w:t xml:space="preserve">исключают третьего игрока из распределения дохода, деля его поровну между собой. </w:t>
      </w:r>
    </w:p>
    <w:p w:rsidR="00523FB5" w:rsidRDefault="00410778">
      <w:pPr>
        <w:ind w:firstLine="720"/>
      </w:pPr>
      <w:r>
        <w:t xml:space="preserve">2.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 xml:space="preserve">2 </w:t>
      </w:r>
      <w:r>
        <w:t xml:space="preserve">&lt; </w:t>
      </w:r>
      <w:r>
        <w:rPr>
          <w:lang w:val="en-US"/>
        </w:rPr>
        <w:t>Q</w:t>
      </w:r>
      <w:r>
        <w:t xml:space="preserve"> ≤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3</w:t>
      </w:r>
      <w:r>
        <w:t xml:space="preserve"> . Здесь участия третьего игрока необходимо и достаточно, чтобы неодноэлементная коалиция была выигрывающей, поэтому С(</w:t>
      </w:r>
      <w:r>
        <w:rPr>
          <w:lang w:val="en-US"/>
        </w:rPr>
        <w:t>v</w:t>
      </w:r>
      <w:r>
        <w:t xml:space="preserve">) = {(0,0,1)}, </w:t>
      </w:r>
      <w:r w:rsidRPr="00523FB5">
        <w:rPr>
          <w:position w:val="-14"/>
        </w:rPr>
        <w:object w:dxaOrig="1905" w:dyaOrig="566">
          <v:shape id="_x0000_i1035" type="#_x0000_t75" style="width:95.25pt;height:28.5pt" o:ole="" filled="t">
            <v:fill color2="black"/>
            <v:imagedata r:id="rId27" o:title=""/>
          </v:shape>
          <o:OLEObject Type="Embed" ProgID="Equation.3" ShapeID="_x0000_i1035" DrawAspect="Content" ObjectID="_1426542059" r:id="rId28"/>
        </w:object>
      </w:r>
      <w:r>
        <w:t xml:space="preserve"> Хотя третий игрок не является здесь в полном смысле слова диктатором, но его роль в инвестировании существенно выше, чем у двух других игроков, поэтому в С-ядре он забирает весь доход полностью, а в более демократичном векторе Шепли – две трети дохода.</w:t>
      </w:r>
    </w:p>
    <w:p w:rsidR="00523FB5" w:rsidRDefault="00410778">
      <w:pPr>
        <w:ind w:firstLine="720"/>
      </w:pPr>
      <w:r>
        <w:t xml:space="preserve">3.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 xml:space="preserve">3 </w:t>
      </w:r>
      <w:r>
        <w:t xml:space="preserve">&lt; </w:t>
      </w:r>
      <w:r>
        <w:rPr>
          <w:lang w:val="en-US"/>
        </w:rPr>
        <w:t>Q</w:t>
      </w:r>
      <w:r>
        <w:t xml:space="preserve"> ≤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3</w:t>
      </w:r>
      <w:r>
        <w:t xml:space="preserve"> . Здесь в системе для определения С-ядра ненулевую правую часть имеют соотношения</w:t>
      </w:r>
    </w:p>
    <w:p w:rsidR="00523FB5" w:rsidRDefault="00410778">
      <w:pPr>
        <w:ind w:firstLine="720"/>
      </w:pPr>
      <w:r w:rsidRPr="00523FB5">
        <w:rPr>
          <w:position w:val="-1"/>
        </w:rPr>
        <w:object w:dxaOrig="2617" w:dyaOrig="319">
          <v:shape id="_x0000_i1036" type="#_x0000_t75" style="width:130.5pt;height:15.75pt" o:ole="" filled="t">
            <v:fill color2="black"/>
            <v:imagedata r:id="rId29" o:title=""/>
          </v:shape>
          <o:OLEObject Type="Embed" ProgID="Equation.3" ShapeID="_x0000_i1036" DrawAspect="Content" ObjectID="_1426542060" r:id="rId30"/>
        </w:object>
      </w:r>
      <w:r>
        <w:t xml:space="preserve"> поэтому </w:t>
      </w:r>
      <w:r w:rsidRPr="00523FB5">
        <w:rPr>
          <w:position w:val="-3"/>
        </w:rPr>
        <w:object w:dxaOrig="4376" w:dyaOrig="352">
          <v:shape id="_x0000_i1037" type="#_x0000_t75" style="width:219pt;height:17.25pt" o:ole="" filled="t">
            <v:fill color2="black"/>
            <v:imagedata r:id="rId31" o:title=""/>
          </v:shape>
          <o:OLEObject Type="Embed" ProgID="Equation.3" ShapeID="_x0000_i1037" DrawAspect="Content" ObjectID="_1426542061" r:id="rId32"/>
        </w:object>
      </w:r>
      <w:r>
        <w:t xml:space="preserve">. Из соображений симметрии и неучастия первого игрока получаем вектор Шепли в виде </w:t>
      </w:r>
      <w:r w:rsidRPr="00523FB5">
        <w:rPr>
          <w:position w:val="-14"/>
        </w:rPr>
        <w:object w:dxaOrig="1822" w:dyaOrig="566">
          <v:shape id="_x0000_i1038" type="#_x0000_t75" style="width:90.75pt;height:28.5pt" o:ole="" filled="t">
            <v:fill color2="black"/>
            <v:imagedata r:id="rId33" o:title=""/>
          </v:shape>
          <o:OLEObject Type="Embed" ProgID="Equation.3" ShapeID="_x0000_i1038" DrawAspect="Content" ObjectID="_1426542062" r:id="rId34"/>
        </w:object>
      </w:r>
      <w:r>
        <w:t xml:space="preserve"> Таким образом, здесь основную роль в инвестировании играют более сильные второй и третий игроки, которые и делят между собой инвестиционный доход, исключая первого игрока из распределения.</w:t>
      </w:r>
    </w:p>
    <w:p w:rsidR="00523FB5" w:rsidRDefault="00410778">
      <w:pPr>
        <w:ind w:firstLine="720"/>
        <w:rPr>
          <w:b/>
          <w:bCs/>
        </w:rPr>
      </w:pPr>
      <w:r>
        <w:t xml:space="preserve">4.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 xml:space="preserve">3 </w:t>
      </w:r>
      <w:r>
        <w:t xml:space="preserve">&lt; </w:t>
      </w:r>
      <w:r>
        <w:rPr>
          <w:lang w:val="en-US"/>
        </w:rPr>
        <w:t>Q</w:t>
      </w:r>
      <w:r>
        <w:t xml:space="preserve"> ≤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+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q</w:t>
      </w:r>
      <w:r>
        <w:rPr>
          <w:vertAlign w:val="subscript"/>
        </w:rPr>
        <w:t>3</w:t>
      </w:r>
      <w:r>
        <w:t xml:space="preserve"> . Здесь </w:t>
      </w:r>
      <w:r w:rsidRPr="00523FB5">
        <w:rPr>
          <w:position w:val="-14"/>
        </w:rPr>
        <w:object w:dxaOrig="3053" w:dyaOrig="566">
          <v:shape id="_x0000_i1039" type="#_x0000_t75" style="width:153pt;height:28.5pt" o:ole="" filled="t">
            <v:fill color2="black"/>
            <v:imagedata r:id="rId35" o:title=""/>
          </v:shape>
          <o:OLEObject Type="Embed" ProgID="Equation.3" ShapeID="_x0000_i1039" DrawAspect="Content" ObjectID="_1426542063" r:id="rId36"/>
        </w:object>
      </w:r>
      <w:r>
        <w:t>единственной выигрывающей коалицией является максимальная (то есть для реализации программы требуется обязательное объединение усилий всех игроков, которые в этом случае делят инвестиционный доход поровну).</w:t>
      </w:r>
    </w:p>
    <w:p w:rsidR="00523FB5" w:rsidRDefault="00410778" w:rsidP="00114AF7">
      <w:pPr>
        <w:jc w:val="left"/>
      </w:pPr>
      <w:r>
        <w:rPr>
          <w:b/>
          <w:bCs/>
        </w:rPr>
        <w:t>Литература</w:t>
      </w:r>
      <w:r w:rsidR="00114AF7">
        <w:rPr>
          <w:b/>
          <w:bCs/>
        </w:rPr>
        <w:t>:</w:t>
      </w:r>
    </w:p>
    <w:p w:rsidR="00523FB5" w:rsidRDefault="00114AF7" w:rsidP="00114AF7">
      <w:pPr>
        <w:pStyle w:val="af7"/>
        <w:jc w:val="left"/>
      </w:pPr>
      <w:r>
        <w:rPr>
          <w:b w:val="0"/>
          <w:bCs w:val="0"/>
        </w:rPr>
        <w:t>1.</w:t>
      </w:r>
      <w:r w:rsidR="00410778">
        <w:rPr>
          <w:b w:val="0"/>
          <w:bCs w:val="0"/>
        </w:rPr>
        <w:t>Тарасенко, Л.В. Моделирование социального партнерства в системе дополнительного профессионального образования // Общество: социология, психология, педагогика. 2011. - №4.</w:t>
      </w:r>
    </w:p>
    <w:p w:rsidR="00523FB5" w:rsidRDefault="00114AF7" w:rsidP="00114AF7">
      <w:pPr>
        <w:jc w:val="left"/>
      </w:pPr>
      <w:r>
        <w:t>2.</w:t>
      </w:r>
      <w:r w:rsidR="00410778">
        <w:t xml:space="preserve">Михеев, В.А. Основы социального партнерства: теория и политика </w:t>
      </w:r>
      <w:r w:rsidR="00410778" w:rsidRPr="00114AF7">
        <w:t>[</w:t>
      </w:r>
      <w:r w:rsidR="00410778">
        <w:t>Текст</w:t>
      </w:r>
      <w:r w:rsidR="00410778" w:rsidRPr="00114AF7">
        <w:t>]</w:t>
      </w:r>
      <w:r w:rsidR="00410778">
        <w:t xml:space="preserve"> / В.А. Михеев. – М., 2001.</w:t>
      </w:r>
    </w:p>
    <w:p w:rsidR="00523FB5" w:rsidRDefault="00114AF7" w:rsidP="00114AF7">
      <w:pPr>
        <w:jc w:val="left"/>
      </w:pPr>
      <w:r>
        <w:lastRenderedPageBreak/>
        <w:t>3.</w:t>
      </w:r>
      <w:r w:rsidR="00410778">
        <w:t xml:space="preserve">Зинченко, Г.П., Рогов, И.И. Социальное партнерство: </w:t>
      </w:r>
      <w:r w:rsidR="00410778" w:rsidRPr="00114AF7">
        <w:t>[</w:t>
      </w:r>
      <w:r w:rsidR="00410778">
        <w:t>Текст</w:t>
      </w:r>
      <w:r w:rsidR="00410778" w:rsidRPr="00114AF7">
        <w:t xml:space="preserve">]: </w:t>
      </w:r>
      <w:r w:rsidR="00410778">
        <w:t>Учебник / Г.П. Зинченко, И.И. Рогов. – М.: Издательско-торговая корпорация «Дашков и К</w:t>
      </w:r>
      <w:r w:rsidR="00410778">
        <w:rPr>
          <w:rFonts w:ascii="Symbol" w:hAnsi="Symbol" w:cs="Symbol"/>
        </w:rPr>
        <w:t></w:t>
      </w:r>
      <w:r w:rsidR="00410778">
        <w:t>»; Академцентр, 2009. – 224 с.</w:t>
      </w:r>
    </w:p>
    <w:p w:rsidR="00523FB5" w:rsidRPr="00114AF7" w:rsidRDefault="00114AF7" w:rsidP="00114AF7">
      <w:r>
        <w:t>4.</w:t>
      </w:r>
      <w:r w:rsidR="00410778">
        <w:t xml:space="preserve">Петросян, Л.А. Теория игр </w:t>
      </w:r>
      <w:r w:rsidR="00410778" w:rsidRPr="00114AF7">
        <w:t>[</w:t>
      </w:r>
      <w:r w:rsidR="00410778">
        <w:t>Текст</w:t>
      </w:r>
      <w:r w:rsidR="00410778" w:rsidRPr="00114AF7">
        <w:t xml:space="preserve">] </w:t>
      </w:r>
      <w:r w:rsidR="00410778">
        <w:t>/ Л.А.Петросян, Н.А.Зенкевич, Е.В.Шевкопляс. - СПб.: БХВ-Петербург, 2012. - 432 с.</w:t>
      </w:r>
    </w:p>
    <w:p w:rsidR="00523FB5" w:rsidRPr="00114AF7" w:rsidRDefault="00114AF7" w:rsidP="00114AF7">
      <w:pPr>
        <w:rPr>
          <w:lang w:val="en-US"/>
        </w:rPr>
      </w:pPr>
      <w:r w:rsidRPr="00114AF7">
        <w:rPr>
          <w:lang w:val="en-US"/>
        </w:rPr>
        <w:t>5.</w:t>
      </w:r>
      <w:r w:rsidR="00410778">
        <w:rPr>
          <w:lang w:val="en-US"/>
        </w:rPr>
        <w:t>Petrosjan, L.A., Zenkevich, N.A. Game theory. - Singapore, London: World Scientific Publishers, 1996.</w:t>
      </w:r>
    </w:p>
    <w:p w:rsidR="00523FB5" w:rsidRPr="00114AF7" w:rsidRDefault="00114AF7" w:rsidP="00114AF7">
      <w:pPr>
        <w:pStyle w:val="af6"/>
        <w:ind w:firstLine="0"/>
        <w:jc w:val="left"/>
        <w:rPr>
          <w:lang w:val="en-US"/>
        </w:rPr>
      </w:pPr>
      <w:r w:rsidRPr="00114AF7">
        <w:rPr>
          <w:lang w:val="en-US"/>
        </w:rPr>
        <w:t>6.</w:t>
      </w:r>
      <w:r w:rsidR="00410778">
        <w:rPr>
          <w:lang w:val="en-US"/>
        </w:rPr>
        <w:t>Petrosjan, L.A., Zaccour G. Time-consistent Shapley value allocation of pollution lost reduction [Text] // Journal of Economic Dynamics and Control. - 2003. - Vol.27. - P.381-398.</w:t>
      </w:r>
    </w:p>
    <w:p w:rsidR="00523FB5" w:rsidRDefault="00114AF7" w:rsidP="00114AF7">
      <w:pPr>
        <w:jc w:val="left"/>
      </w:pPr>
      <w:r>
        <w:t>7.</w:t>
      </w:r>
      <w:r w:rsidR="00410778">
        <w:t xml:space="preserve">Розин М.Д., Сущий С.Я., Угольницкий Г.А., Антоненко А.В. Дескриптивный подход к моделированию коррупции как фактора социальной конфликтности // Инженерный вестник Дона. 2011. №3.[Электронный журнал]. - № гос.регистрации 0421100096. – Режим доступа: </w:t>
      </w:r>
      <w:hyperlink r:id="rId37" w:history="1">
        <w:r w:rsidR="00410778">
          <w:rPr>
            <w:rStyle w:val="aa"/>
          </w:rPr>
          <w:t>http://ivdon.ru/magazine/archive/n3y2011/561</w:t>
        </w:r>
      </w:hyperlink>
      <w:r w:rsidR="00410778">
        <w:t>.</w:t>
      </w:r>
    </w:p>
    <w:p w:rsidR="00523FB5" w:rsidRDefault="00114AF7" w:rsidP="00114AF7">
      <w:r>
        <w:t>8.</w:t>
      </w:r>
      <w:r w:rsidR="00410778">
        <w:t>Сущий С.Я., Угольницкий Г.А., Дьяченко В.К., Сивогривов А.А. Математическая модель кадровой пирамиды бандподполья на Северном Кавказе // Инженерный вестник Дона. 2012. №2. [Электронный журнал]. - № гос.регистрации 0421100096. –</w:t>
      </w:r>
      <w:hyperlink r:id="rId38" w:history="1">
        <w:r w:rsidR="00410778">
          <w:rPr>
            <w:rStyle w:val="aa"/>
          </w:rPr>
          <w:t>http://ivdon.ru/magazine/archive/n2y2012/845.</w:t>
        </w:r>
      </w:hyperlink>
    </w:p>
    <w:p w:rsidR="00523FB5" w:rsidRDefault="00114AF7" w:rsidP="00114AF7">
      <w:pPr>
        <w:jc w:val="left"/>
      </w:pPr>
      <w:r>
        <w:t>9.</w:t>
      </w:r>
      <w:r w:rsidR="00410778">
        <w:t>Сущий С.Я., Угольницкий Г.А., Дьяченко В.К., Сивогривов А.А. Сценарное моделирование борьбы с экстремизмом на Северном Кавказе // Инженерный вестник Дона. 2012. №2. [Электронный журнал]. - № гос.регистрации 0421100096. –</w:t>
      </w:r>
      <w:hyperlink r:id="rId39" w:history="1">
        <w:r w:rsidR="00410778">
          <w:rPr>
            <w:rStyle w:val="aa"/>
          </w:rPr>
          <w:t>http://ivdon.ru/magazine/archive/n2y2012/847</w:t>
        </w:r>
      </w:hyperlink>
      <w:r w:rsidR="00410778">
        <w:t>.</w:t>
      </w:r>
    </w:p>
    <w:p w:rsidR="00523FB5" w:rsidRDefault="00114AF7" w:rsidP="00114AF7">
      <w:pPr>
        <w:jc w:val="left"/>
      </w:pPr>
      <w:r>
        <w:t>10.</w:t>
      </w:r>
      <w:r w:rsidR="00410778">
        <w:t>Мазалов В.В. Математическая теория игр и ее приложения. - СПб.: Лань, 2010. - 448 с.</w:t>
      </w:r>
    </w:p>
    <w:p w:rsidR="00523FB5" w:rsidRDefault="00410778">
      <w:pPr>
        <w:pStyle w:val="af6"/>
        <w:jc w:val="left"/>
      </w:pPr>
      <w:r>
        <w:t xml:space="preserve">     </w:t>
      </w:r>
    </w:p>
    <w:p w:rsidR="00410778" w:rsidRDefault="00410778">
      <w:pPr>
        <w:pStyle w:val="af6"/>
        <w:ind w:firstLine="0"/>
        <w:jc w:val="left"/>
      </w:pPr>
    </w:p>
    <w:sectPr w:rsidR="00410778" w:rsidSect="00523FB5"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39" w:rsidRDefault="00BE3639">
      <w:pPr>
        <w:spacing w:line="240" w:lineRule="auto"/>
      </w:pPr>
      <w:r>
        <w:separator/>
      </w:r>
    </w:p>
  </w:endnote>
  <w:endnote w:type="continuationSeparator" w:id="0">
    <w:p w:rsidR="00BE3639" w:rsidRDefault="00BE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39" w:rsidRDefault="00BE3639">
      <w:pPr>
        <w:spacing w:line="240" w:lineRule="auto"/>
      </w:pPr>
      <w:r>
        <w:separator/>
      </w:r>
    </w:p>
  </w:footnote>
  <w:footnote w:type="continuationSeparator" w:id="0">
    <w:p w:rsidR="00BE3639" w:rsidRDefault="00BE3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77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2C"/>
    <w:rsid w:val="00114AF7"/>
    <w:rsid w:val="00226E2C"/>
    <w:rsid w:val="00410778"/>
    <w:rsid w:val="00523FB5"/>
    <w:rsid w:val="00AB0CE0"/>
    <w:rsid w:val="00B94084"/>
    <w:rsid w:val="00BE3639"/>
    <w:rsid w:val="00CE1C23"/>
    <w:rsid w:val="00E2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B5"/>
    <w:pPr>
      <w:suppressAutoHyphens/>
      <w:spacing w:line="360" w:lineRule="auto"/>
      <w:jc w:val="both"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523FB5"/>
    <w:pPr>
      <w:keepNext/>
      <w:pageBreakBefore/>
      <w:tabs>
        <w:tab w:val="num" w:pos="0"/>
      </w:tabs>
      <w:spacing w:before="240" w:after="60"/>
      <w:ind w:firstLine="709"/>
      <w:outlineLvl w:val="0"/>
    </w:pPr>
    <w:rPr>
      <w:b/>
      <w:bCs/>
      <w:caps/>
      <w:kern w:val="1"/>
      <w:szCs w:val="32"/>
    </w:rPr>
  </w:style>
  <w:style w:type="paragraph" w:styleId="2">
    <w:name w:val="heading 2"/>
    <w:basedOn w:val="a"/>
    <w:next w:val="a"/>
    <w:qFormat/>
    <w:rsid w:val="00523FB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23FB5"/>
  </w:style>
  <w:style w:type="character" w:customStyle="1" w:styleId="11">
    <w:name w:val="Заголовок 1 Знак"/>
    <w:rsid w:val="00523FB5"/>
    <w:rPr>
      <w:rFonts w:ascii="Times New Roman" w:eastAsia="Times New Roman" w:hAnsi="Times New Roman" w:cs="Times New Roman"/>
      <w:b/>
      <w:bCs/>
      <w:caps/>
      <w:kern w:val="1"/>
      <w:sz w:val="28"/>
      <w:szCs w:val="32"/>
    </w:rPr>
  </w:style>
  <w:style w:type="character" w:styleId="a3">
    <w:name w:val="Strong"/>
    <w:qFormat/>
    <w:rsid w:val="00523FB5"/>
    <w:rPr>
      <w:b/>
      <w:bCs/>
    </w:rPr>
  </w:style>
  <w:style w:type="character" w:customStyle="1" w:styleId="apple-converted-space">
    <w:name w:val="apple-converted-space"/>
    <w:basedOn w:val="10"/>
    <w:rsid w:val="00523FB5"/>
  </w:style>
  <w:style w:type="character" w:styleId="a4">
    <w:name w:val="Placeholder Text"/>
    <w:rsid w:val="00523FB5"/>
    <w:rPr>
      <w:color w:val="808080"/>
    </w:rPr>
  </w:style>
  <w:style w:type="character" w:customStyle="1" w:styleId="a5">
    <w:name w:val="Текст выноски Знак"/>
    <w:rsid w:val="00523FB5"/>
    <w:rPr>
      <w:rFonts w:ascii="Tahoma" w:hAnsi="Tahoma" w:cs="Tahoma"/>
      <w:sz w:val="16"/>
      <w:szCs w:val="16"/>
    </w:rPr>
  </w:style>
  <w:style w:type="character" w:customStyle="1" w:styleId="a6">
    <w:name w:val="ИВД: Заголовок статьи Знак"/>
    <w:rsid w:val="00523FB5"/>
    <w:rPr>
      <w:rFonts w:ascii="Times New Roman" w:eastAsia="Times New Roman" w:hAnsi="Times New Roman" w:cs="Times New Roman"/>
      <w:b/>
      <w:bCs/>
      <w:caps w:val="0"/>
      <w:smallCaps w:val="0"/>
      <w:color w:val="000000"/>
      <w:kern w:val="1"/>
      <w:sz w:val="28"/>
      <w:szCs w:val="32"/>
      <w:shd w:val="clear" w:color="auto" w:fill="FFFFFF"/>
    </w:rPr>
  </w:style>
  <w:style w:type="character" w:customStyle="1" w:styleId="a7">
    <w:name w:val="Обычный (веб) Знак"/>
    <w:rsid w:val="00523FB5"/>
    <w:rPr>
      <w:rFonts w:ascii="Times New Roman" w:hAnsi="Times New Roman" w:cs="Times New Roman"/>
      <w:sz w:val="24"/>
      <w:szCs w:val="24"/>
    </w:rPr>
  </w:style>
  <w:style w:type="character" w:customStyle="1" w:styleId="a8">
    <w:name w:val="ИВД: Текст статьи Знак"/>
    <w:basedOn w:val="a7"/>
    <w:rsid w:val="00523FB5"/>
  </w:style>
  <w:style w:type="character" w:customStyle="1" w:styleId="20">
    <w:name w:val="Заголовок 2 Знак"/>
    <w:rsid w:val="00523F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ИВД: Подзаголовок Знак"/>
    <w:rsid w:val="00523FB5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character" w:styleId="aa">
    <w:name w:val="Hyperlink"/>
    <w:rsid w:val="00523FB5"/>
    <w:rPr>
      <w:color w:val="0000FF"/>
      <w:u w:val="single"/>
    </w:rPr>
  </w:style>
  <w:style w:type="character" w:customStyle="1" w:styleId="ab">
    <w:name w:val="Название объекта Знак"/>
    <w:rsid w:val="00523FB5"/>
    <w:rPr>
      <w:rFonts w:ascii="Times New Roman" w:hAnsi="Times New Roman" w:cs="Times New Roman"/>
      <w:b/>
      <w:bCs/>
    </w:rPr>
  </w:style>
  <w:style w:type="character" w:customStyle="1" w:styleId="ac">
    <w:name w:val="ИВД: Название объекта Знак"/>
    <w:rsid w:val="00523FB5"/>
    <w:rPr>
      <w:rFonts w:ascii="Times New Roman" w:hAnsi="Times New Roman" w:cs="Times New Roman"/>
      <w:b w:val="0"/>
      <w:bCs/>
      <w:sz w:val="28"/>
    </w:rPr>
  </w:style>
  <w:style w:type="character" w:customStyle="1" w:styleId="ad">
    <w:name w:val="Верхний колонтитул Знак"/>
    <w:rsid w:val="00523FB5"/>
    <w:rPr>
      <w:rFonts w:ascii="Times New Roman" w:hAnsi="Times New Roman" w:cs="Times New Roman"/>
      <w:sz w:val="28"/>
      <w:szCs w:val="24"/>
    </w:rPr>
  </w:style>
  <w:style w:type="character" w:customStyle="1" w:styleId="ae">
    <w:name w:val="Нижний колонтитул Знак"/>
    <w:rsid w:val="00523FB5"/>
    <w:rPr>
      <w:rFonts w:ascii="Times New Roman" w:hAnsi="Times New Roman" w:cs="Times New Roman"/>
      <w:sz w:val="28"/>
      <w:szCs w:val="24"/>
    </w:rPr>
  </w:style>
  <w:style w:type="paragraph" w:customStyle="1" w:styleId="af">
    <w:name w:val="Заголовок"/>
    <w:basedOn w:val="a"/>
    <w:next w:val="af0"/>
    <w:rsid w:val="00523FB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0">
    <w:name w:val="Body Text"/>
    <w:basedOn w:val="a"/>
    <w:rsid w:val="00523FB5"/>
    <w:pPr>
      <w:spacing w:after="120"/>
    </w:pPr>
  </w:style>
  <w:style w:type="paragraph" w:styleId="af1">
    <w:name w:val="List"/>
    <w:basedOn w:val="af0"/>
    <w:rsid w:val="00523FB5"/>
    <w:rPr>
      <w:rFonts w:cs="Mangal"/>
    </w:rPr>
  </w:style>
  <w:style w:type="paragraph" w:styleId="af2">
    <w:name w:val="caption"/>
    <w:basedOn w:val="a"/>
    <w:qFormat/>
    <w:rsid w:val="00523FB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23FB5"/>
    <w:pPr>
      <w:suppressLineNumbers/>
    </w:pPr>
    <w:rPr>
      <w:rFonts w:cs="Mangal"/>
    </w:rPr>
  </w:style>
  <w:style w:type="paragraph" w:styleId="af3">
    <w:name w:val="Normal (Web)"/>
    <w:basedOn w:val="a"/>
    <w:rsid w:val="00523FB5"/>
    <w:pPr>
      <w:spacing w:before="280" w:after="280" w:line="240" w:lineRule="auto"/>
      <w:jc w:val="left"/>
    </w:pPr>
    <w:rPr>
      <w:sz w:val="24"/>
    </w:rPr>
  </w:style>
  <w:style w:type="paragraph" w:styleId="af4">
    <w:name w:val="Balloon Text"/>
    <w:basedOn w:val="a"/>
    <w:rsid w:val="00523F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ИВД: Заголовок статьи"/>
    <w:basedOn w:val="1"/>
    <w:next w:val="af6"/>
    <w:rsid w:val="00523FB5"/>
    <w:pPr>
      <w:shd w:val="clear" w:color="auto" w:fill="FFFFFF"/>
      <w:tabs>
        <w:tab w:val="clear" w:pos="0"/>
      </w:tabs>
      <w:spacing w:before="0" w:after="0"/>
      <w:ind w:firstLine="0"/>
      <w:jc w:val="center"/>
    </w:pPr>
    <w:rPr>
      <w:caps w:val="0"/>
      <w:color w:val="000000"/>
    </w:rPr>
  </w:style>
  <w:style w:type="paragraph" w:customStyle="1" w:styleId="af6">
    <w:name w:val="ИВД: Текст статьи"/>
    <w:basedOn w:val="af3"/>
    <w:rsid w:val="00523FB5"/>
    <w:pPr>
      <w:shd w:val="clear" w:color="auto" w:fill="FFFFFF"/>
      <w:spacing w:before="0" w:after="0" w:line="360" w:lineRule="auto"/>
      <w:ind w:firstLine="709"/>
      <w:jc w:val="both"/>
    </w:pPr>
    <w:rPr>
      <w:color w:val="000000"/>
      <w:sz w:val="28"/>
    </w:rPr>
  </w:style>
  <w:style w:type="paragraph" w:customStyle="1" w:styleId="af7">
    <w:name w:val="ИВД: Подзаголовок"/>
    <w:basedOn w:val="2"/>
    <w:next w:val="af6"/>
    <w:rsid w:val="00523FB5"/>
    <w:pPr>
      <w:shd w:val="clear" w:color="auto" w:fill="FFFFFF"/>
      <w:tabs>
        <w:tab w:val="clear" w:pos="0"/>
      </w:tabs>
      <w:spacing w:after="0"/>
      <w:ind w:left="0" w:firstLine="0"/>
      <w:jc w:val="center"/>
    </w:pPr>
    <w:rPr>
      <w:rFonts w:ascii="Times New Roman" w:hAnsi="Times New Roman"/>
      <w:i w:val="0"/>
      <w:color w:val="000000"/>
    </w:rPr>
  </w:style>
  <w:style w:type="paragraph" w:customStyle="1" w:styleId="13">
    <w:name w:val="Название объекта1"/>
    <w:basedOn w:val="a"/>
    <w:next w:val="a"/>
    <w:rsid w:val="00523FB5"/>
    <w:rPr>
      <w:b/>
      <w:bCs/>
      <w:sz w:val="20"/>
      <w:szCs w:val="20"/>
    </w:rPr>
  </w:style>
  <w:style w:type="paragraph" w:customStyle="1" w:styleId="af8">
    <w:name w:val="ИВД: Название объекта"/>
    <w:basedOn w:val="13"/>
    <w:next w:val="af6"/>
    <w:rsid w:val="00523FB5"/>
    <w:pPr>
      <w:jc w:val="center"/>
    </w:pPr>
    <w:rPr>
      <w:b w:val="0"/>
      <w:sz w:val="28"/>
    </w:rPr>
  </w:style>
  <w:style w:type="paragraph" w:styleId="af9">
    <w:name w:val="header"/>
    <w:basedOn w:val="a"/>
    <w:rsid w:val="00523FB5"/>
    <w:pPr>
      <w:tabs>
        <w:tab w:val="center" w:pos="4677"/>
        <w:tab w:val="right" w:pos="9355"/>
      </w:tabs>
    </w:pPr>
  </w:style>
  <w:style w:type="paragraph" w:styleId="afa">
    <w:name w:val="footer"/>
    <w:basedOn w:val="a"/>
    <w:rsid w:val="00523FB5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a"/>
    <w:rsid w:val="00523FB5"/>
    <w:pPr>
      <w:suppressLineNumbers/>
    </w:pPr>
  </w:style>
  <w:style w:type="paragraph" w:customStyle="1" w:styleId="afc">
    <w:name w:val="Заголовок таблицы"/>
    <w:basedOn w:val="afb"/>
    <w:rsid w:val="00523FB5"/>
    <w:pPr>
      <w:jc w:val="center"/>
    </w:pPr>
    <w:rPr>
      <w:b/>
      <w:bCs/>
    </w:rPr>
  </w:style>
  <w:style w:type="paragraph" w:styleId="HTML">
    <w:name w:val="HTML Preformatted"/>
    <w:basedOn w:val="a"/>
    <w:rsid w:val="00523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yperlink" Target="http://ivdon.ru/magazine/archive/n2y2012/84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yperlink" Target="http://ivdon.ru/magazine/archive/n2y2012/845.&#1051;&#1086;&#1091;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http://ivdon.ru/magazine/archive/n3y2011/561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6</cp:revision>
  <cp:lastPrinted>1601-01-01T00:00:00Z</cp:lastPrinted>
  <dcterms:created xsi:type="dcterms:W3CDTF">2013-03-14T07:28:00Z</dcterms:created>
  <dcterms:modified xsi:type="dcterms:W3CDTF">2013-04-03T20:54:00Z</dcterms:modified>
</cp:coreProperties>
</file>