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A1" w:rsidRDefault="007F67D0" w:rsidP="007E2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3250">
        <w:rPr>
          <w:rFonts w:ascii="Times New Roman" w:hAnsi="Times New Roman" w:cs="Times New Roman"/>
          <w:b/>
          <w:sz w:val="28"/>
          <w:szCs w:val="24"/>
        </w:rPr>
        <w:t>От гипсоглиноземистого расширяющегося цемента (ГГРЦ) к н</w:t>
      </w:r>
      <w:r w:rsidRPr="00B03250">
        <w:rPr>
          <w:rFonts w:ascii="Times New Roman" w:hAnsi="Times New Roman" w:cs="Times New Roman"/>
          <w:b/>
          <w:sz w:val="28"/>
          <w:szCs w:val="24"/>
        </w:rPr>
        <w:t>а</w:t>
      </w:r>
      <w:r w:rsidRPr="00B03250">
        <w:rPr>
          <w:rFonts w:ascii="Times New Roman" w:hAnsi="Times New Roman" w:cs="Times New Roman"/>
          <w:b/>
          <w:sz w:val="28"/>
          <w:szCs w:val="24"/>
        </w:rPr>
        <w:t>прягающему цементу (НЦ)</w:t>
      </w:r>
      <w:r w:rsidR="00B03250" w:rsidRPr="00B03250">
        <w:rPr>
          <w:rFonts w:ascii="Times New Roman" w:hAnsi="Times New Roman" w:cs="Times New Roman"/>
          <w:b/>
          <w:sz w:val="28"/>
          <w:szCs w:val="24"/>
        </w:rPr>
        <w:t>. Изменение кинетики расширения</w:t>
      </w:r>
    </w:p>
    <w:p w:rsidR="00DE4254" w:rsidRPr="00B03250" w:rsidRDefault="00DE4254" w:rsidP="007E2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0A91" w:rsidRPr="009C7FA9" w:rsidRDefault="00BC54FD" w:rsidP="009C7FA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C7FA9">
        <w:rPr>
          <w:rFonts w:ascii="Times New Roman" w:hAnsi="Times New Roman" w:cs="Times New Roman"/>
          <w:b/>
          <w:sz w:val="28"/>
          <w:szCs w:val="24"/>
        </w:rPr>
        <w:t>И</w:t>
      </w:r>
      <w:r w:rsidR="007727A1" w:rsidRPr="009C7FA9">
        <w:rPr>
          <w:rFonts w:ascii="Times New Roman" w:hAnsi="Times New Roman" w:cs="Times New Roman"/>
          <w:b/>
          <w:sz w:val="28"/>
          <w:szCs w:val="24"/>
        </w:rPr>
        <w:t>.</w:t>
      </w:r>
      <w:r w:rsidRPr="009C7FA9">
        <w:rPr>
          <w:rFonts w:ascii="Times New Roman" w:hAnsi="Times New Roman" w:cs="Times New Roman"/>
          <w:b/>
          <w:sz w:val="28"/>
          <w:szCs w:val="24"/>
        </w:rPr>
        <w:t>В</w:t>
      </w:r>
      <w:r w:rsidR="007727A1" w:rsidRPr="009C7FA9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 w:rsidRPr="009C7FA9">
        <w:rPr>
          <w:rFonts w:ascii="Times New Roman" w:hAnsi="Times New Roman" w:cs="Times New Roman"/>
          <w:b/>
          <w:sz w:val="28"/>
          <w:szCs w:val="24"/>
        </w:rPr>
        <w:t>Резван</w:t>
      </w:r>
      <w:proofErr w:type="spellEnd"/>
      <w:r w:rsidR="00050A91" w:rsidRPr="009C7FA9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9C7FA9">
        <w:rPr>
          <w:rFonts w:ascii="Times New Roman" w:hAnsi="Times New Roman" w:cs="Times New Roman"/>
          <w:b/>
          <w:sz w:val="28"/>
          <w:szCs w:val="24"/>
        </w:rPr>
        <w:t xml:space="preserve">А.В. </w:t>
      </w:r>
      <w:proofErr w:type="spellStart"/>
      <w:r w:rsidRPr="009C7FA9">
        <w:rPr>
          <w:rFonts w:ascii="Times New Roman" w:hAnsi="Times New Roman" w:cs="Times New Roman"/>
          <w:b/>
          <w:sz w:val="28"/>
          <w:szCs w:val="24"/>
        </w:rPr>
        <w:t>Резван</w:t>
      </w:r>
      <w:proofErr w:type="spellEnd"/>
    </w:p>
    <w:p w:rsidR="007E2969" w:rsidRPr="00B03250" w:rsidRDefault="007E2969" w:rsidP="007E2969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F2341F" w:rsidRPr="00B03250" w:rsidRDefault="007F67D0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>В ХХ веке в нашей стране получили распространение два основных типа расширяющихся вяжущих: гипсоглиноземистый расширяющийся ц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е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мент (ГГРЦ) и напрягающий цемент В.В. Михайлова (НЦ)</w:t>
      </w:r>
      <w:r w:rsidR="00F2341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</w:t>
      </w:r>
    </w:p>
    <w:p w:rsidR="007F67D0" w:rsidRPr="00B03250" w:rsidRDefault="00F2341F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Как известно, ГГРЦ </w:t>
      </w:r>
      <w:r w:rsidR="00D52F49" w:rsidRPr="00B03250">
        <w:rPr>
          <w:rFonts w:ascii="Times New Roman" w:eastAsiaTheme="minorEastAsia" w:hAnsi="Times New Roman" w:cs="Times New Roman"/>
          <w:sz w:val="28"/>
          <w:szCs w:val="24"/>
        </w:rPr>
        <w:t>[</w:t>
      </w:r>
      <w:r w:rsidR="00C416B6" w:rsidRPr="00C416B6">
        <w:rPr>
          <w:rFonts w:ascii="Times New Roman" w:eastAsiaTheme="minorEastAsia" w:hAnsi="Times New Roman" w:cs="Times New Roman"/>
          <w:sz w:val="28"/>
          <w:szCs w:val="24"/>
        </w:rPr>
        <w:t>2</w:t>
      </w:r>
      <w:r w:rsidR="00D52F4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] 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состоит из глиноземистого клинкера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(</w:t>
      </w:r>
      <w:proofErr w:type="gramStart"/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>ГЦ</w:t>
      </w:r>
      <w:proofErr w:type="gramEnd"/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>)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и гипсового камня, молотых совм</w:t>
      </w:r>
      <w:r w:rsidR="00D52F4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естно в пропорции 70:30, </w:t>
      </w:r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>что обеспечивает компенсацию усадки или даже незначительное расширение. Кроме того ГГРЦ обладает такими положительными свойствами как высокая водон</w:t>
      </w:r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>е</w:t>
      </w:r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проницаемость и скорость твердения. Однако, для получения </w:t>
      </w:r>
      <w:proofErr w:type="spellStart"/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>самонапряж</w:t>
      </w:r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>е</w:t>
      </w:r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>ния</w:t>
      </w:r>
      <w:proofErr w:type="spellEnd"/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в железобетонных конструкциях ГГРЦ, как правило, не применяется. Сферой его применения ограничивается в основном устройством водон</w:t>
      </w:r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>е</w:t>
      </w:r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>проницаемых конструкций и заделкой всевозможных щелей и трещин, что вызвано кроме всег</w:t>
      </w:r>
      <w:r w:rsidR="00D45AE1" w:rsidRPr="00B03250">
        <w:rPr>
          <w:rFonts w:ascii="Times New Roman" w:eastAsiaTheme="minorEastAsia" w:hAnsi="Times New Roman" w:cs="Times New Roman"/>
          <w:sz w:val="28"/>
          <w:szCs w:val="24"/>
        </w:rPr>
        <w:t>о прочего высокой стоимостью основного компонента -</w:t>
      </w:r>
      <w:r w:rsidR="00325242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глиноземистого клинкера. </w:t>
      </w:r>
    </w:p>
    <w:p w:rsidR="007F67D0" w:rsidRPr="00B03250" w:rsidRDefault="00AE38F7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>Основным материалом для получения самонапряженных железоб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е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тонных конструкций исторически служит НЦ В.В. Михайлова</w:t>
      </w:r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[</w:t>
      </w:r>
      <w:r w:rsidR="00C416B6" w:rsidRPr="00C416B6">
        <w:rPr>
          <w:rFonts w:ascii="Times New Roman" w:eastAsiaTheme="minorEastAsia" w:hAnsi="Times New Roman" w:cs="Times New Roman"/>
          <w:sz w:val="28"/>
          <w:szCs w:val="24"/>
        </w:rPr>
        <w:t>7</w:t>
      </w:r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], </w:t>
      </w:r>
      <w:proofErr w:type="gramStart"/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>состо</w:t>
      </w:r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>я</w:t>
      </w:r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>щий</w:t>
      </w:r>
      <w:proofErr w:type="gramEnd"/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из портландцементного клинкера </w:t>
      </w:r>
      <w:r w:rsidR="003955C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(ПЦ) </w:t>
      </w:r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и расширяющей добавки (РД) в пропорции </w:t>
      </w:r>
      <w:r w:rsidR="00D45AE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примерно </w:t>
      </w:r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75:25. РД </w:t>
      </w:r>
      <w:proofErr w:type="gramStart"/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>аналогичн</w:t>
      </w:r>
      <w:r w:rsidR="00531ABB"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proofErr w:type="gramEnd"/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по составу ГГРЦ при несколько меньшем </w:t>
      </w:r>
      <w:proofErr w:type="gramStart"/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>содержании</w:t>
      </w:r>
      <w:proofErr w:type="gramEnd"/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глиноземистого клинкера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и возможном содержании извести до 2%</w:t>
      </w:r>
      <w:r w:rsidR="00506251" w:rsidRPr="00B03250">
        <w:rPr>
          <w:rFonts w:ascii="Times New Roman" w:eastAsiaTheme="minorEastAsia" w:hAnsi="Times New Roman" w:cs="Times New Roman"/>
          <w:sz w:val="28"/>
          <w:szCs w:val="24"/>
        </w:rPr>
        <w:t>.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В отличие от ГГРЦ, расширение которого происходит в о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>с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>новном  в пределах первых трех</w:t>
      </w:r>
      <w:r w:rsidR="00D45AE1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суток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, длительность процесса расширения НЦ может очень сильно варьироваться в зависимости от состава. </w:t>
      </w:r>
      <w:proofErr w:type="gramStart"/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>При с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>о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>хранении пропорции компонентов РД, аналогичной пропорции компоне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>н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>тов ГГРЦ</w:t>
      </w:r>
      <w:r w:rsidR="00D45AE1" w:rsidRPr="00B03250">
        <w:rPr>
          <w:rFonts w:ascii="Times New Roman" w:eastAsiaTheme="minorEastAsia" w:hAnsi="Times New Roman" w:cs="Times New Roman"/>
          <w:sz w:val="28"/>
          <w:szCs w:val="24"/>
        </w:rPr>
        <w:t>,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расширение НЦ может происходит</w:t>
      </w:r>
      <w:r w:rsidR="0083292A" w:rsidRPr="00B03250">
        <w:rPr>
          <w:rFonts w:ascii="Times New Roman" w:eastAsiaTheme="minorEastAsia" w:hAnsi="Times New Roman" w:cs="Times New Roman"/>
          <w:sz w:val="28"/>
          <w:szCs w:val="24"/>
        </w:rPr>
        <w:t>ь</w:t>
      </w:r>
      <w:r w:rsidR="009217C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достаточно быстро, но</w:t>
      </w:r>
      <w:r w:rsidR="0083292A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ост</w:t>
      </w:r>
      <w:r w:rsidR="0083292A"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r w:rsidR="0083292A" w:rsidRPr="00B03250">
        <w:rPr>
          <w:rFonts w:ascii="Times New Roman" w:eastAsiaTheme="minorEastAsia" w:hAnsi="Times New Roman" w:cs="Times New Roman"/>
          <w:sz w:val="28"/>
          <w:szCs w:val="24"/>
        </w:rPr>
        <w:t>ваться в пределах 0,1-0,2%.</w:t>
      </w:r>
      <w:r w:rsidR="005B0CC8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В тоже время попытки увеличить итоговое зн</w:t>
      </w:r>
      <w:r w:rsidR="005B0CC8"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r w:rsidR="005B0CC8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чение относительного расширения, заключающиеся в некотором смещении </w:t>
      </w:r>
      <w:r w:rsidR="005B0CC8" w:rsidRPr="00B03250">
        <w:rPr>
          <w:rFonts w:ascii="Times New Roman" w:eastAsiaTheme="minorEastAsia" w:hAnsi="Times New Roman" w:cs="Times New Roman"/>
          <w:sz w:val="28"/>
          <w:szCs w:val="24"/>
        </w:rPr>
        <w:lastRenderedPageBreak/>
        <w:t>массового отношения компонентов РД в сторону увеличения доли гипса или внесения до 2 % извести приводят к затягиванию процессов расшир</w:t>
      </w:r>
      <w:r w:rsidR="005B0CC8" w:rsidRPr="00B03250">
        <w:rPr>
          <w:rFonts w:ascii="Times New Roman" w:eastAsiaTheme="minorEastAsia" w:hAnsi="Times New Roman" w:cs="Times New Roman"/>
          <w:sz w:val="28"/>
          <w:szCs w:val="24"/>
        </w:rPr>
        <w:t>е</w:t>
      </w:r>
      <w:r w:rsidR="005B0CC8" w:rsidRPr="00B03250">
        <w:rPr>
          <w:rFonts w:ascii="Times New Roman" w:eastAsiaTheme="minorEastAsia" w:hAnsi="Times New Roman" w:cs="Times New Roman"/>
          <w:sz w:val="28"/>
          <w:szCs w:val="24"/>
        </w:rPr>
        <w:t>ния и достижения проектных величин за пределами возраста</w:t>
      </w:r>
      <w:proofErr w:type="gramEnd"/>
      <w:r w:rsidR="005B0CC8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28 суток при </w:t>
      </w:r>
      <w:r w:rsidR="0083292A" w:rsidRPr="00B03250">
        <w:rPr>
          <w:rFonts w:ascii="Times New Roman" w:eastAsiaTheme="minorEastAsia" w:hAnsi="Times New Roman" w:cs="Times New Roman"/>
          <w:sz w:val="28"/>
          <w:szCs w:val="24"/>
        </w:rPr>
        <w:t>отсутствии</w:t>
      </w:r>
      <w:r w:rsidR="005B0CC8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возможности ТВО.</w:t>
      </w:r>
    </w:p>
    <w:p w:rsidR="00AE38F7" w:rsidRPr="00B03250" w:rsidRDefault="003955C9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>В тоже время за рубежом уже очень давно применяются расширя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ю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щиеся и напрягающие </w:t>
      </w: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сульфоалюминатные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вяжущие</w:t>
      </w:r>
      <w:r w:rsidR="003C611D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66480D" w:rsidRPr="00B03250">
        <w:rPr>
          <w:rFonts w:ascii="Times New Roman" w:eastAsiaTheme="minorEastAsia" w:hAnsi="Times New Roman" w:cs="Times New Roman"/>
          <w:sz w:val="28"/>
          <w:szCs w:val="24"/>
        </w:rPr>
        <w:t>[</w:t>
      </w:r>
      <w:r w:rsidR="00C416B6" w:rsidRPr="00C416B6">
        <w:rPr>
          <w:rFonts w:ascii="Times New Roman" w:eastAsiaTheme="minorEastAsia" w:hAnsi="Times New Roman" w:cs="Times New Roman"/>
          <w:sz w:val="28"/>
          <w:szCs w:val="24"/>
        </w:rPr>
        <w:t>9</w:t>
      </w:r>
      <w:r w:rsidR="003C611D" w:rsidRPr="00B03250">
        <w:rPr>
          <w:rFonts w:ascii="Times New Roman" w:eastAsiaTheme="minorEastAsia" w:hAnsi="Times New Roman" w:cs="Times New Roman"/>
          <w:sz w:val="28"/>
          <w:szCs w:val="24"/>
        </w:rPr>
        <w:t>]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, состав </w:t>
      </w:r>
      <w:proofErr w:type="gramStart"/>
      <w:r w:rsidRPr="00B03250">
        <w:rPr>
          <w:rFonts w:ascii="Times New Roman" w:eastAsiaTheme="minorEastAsia" w:hAnsi="Times New Roman" w:cs="Times New Roman"/>
          <w:sz w:val="28"/>
          <w:szCs w:val="24"/>
        </w:rPr>
        <w:t>которых</w:t>
      </w:r>
      <w:proofErr w:type="gram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по существу</w:t>
      </w:r>
      <w:r w:rsidR="009B5F3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отличается от состава ГГРЦ лишь наличием извести. Это еще раз подтверждает, что именно известь, образующаяся как продукт гидратации ПЦ или вносимая в чистом виде, отвечает за активизацию процесса расш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и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рения РД.</w:t>
      </w:r>
      <w:r w:rsidR="005D1036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К сожалению, избыток извести, способный при характерном для НЦ содержании РД оказывать некоторый положительный эффект в виде увеличения итоговой величины расширения приводит </w:t>
      </w:r>
      <w:r w:rsidR="009B5F3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не только </w:t>
      </w:r>
      <w:r w:rsidR="005D1036" w:rsidRPr="00B03250">
        <w:rPr>
          <w:rFonts w:ascii="Times New Roman" w:eastAsiaTheme="minorEastAsia" w:hAnsi="Times New Roman" w:cs="Times New Roman"/>
          <w:sz w:val="28"/>
          <w:szCs w:val="24"/>
        </w:rPr>
        <w:t>к затягив</w:t>
      </w:r>
      <w:r w:rsidR="005D1036"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r w:rsidR="005D1036" w:rsidRPr="00B03250">
        <w:rPr>
          <w:rFonts w:ascii="Times New Roman" w:eastAsiaTheme="minorEastAsia" w:hAnsi="Times New Roman" w:cs="Times New Roman"/>
          <w:sz w:val="28"/>
          <w:szCs w:val="24"/>
        </w:rPr>
        <w:t>нию этих процессов</w:t>
      </w:r>
      <w:r w:rsidR="00973DBD" w:rsidRPr="00B03250">
        <w:rPr>
          <w:rFonts w:ascii="Times New Roman" w:eastAsiaTheme="minorEastAsia" w:hAnsi="Times New Roman" w:cs="Times New Roman"/>
          <w:sz w:val="28"/>
          <w:szCs w:val="24"/>
        </w:rPr>
        <w:t>[</w:t>
      </w:r>
      <w:r w:rsidR="00C416B6" w:rsidRPr="00C416B6">
        <w:rPr>
          <w:rFonts w:ascii="Times New Roman" w:eastAsiaTheme="minorEastAsia" w:hAnsi="Times New Roman" w:cs="Times New Roman"/>
          <w:sz w:val="28"/>
          <w:szCs w:val="24"/>
        </w:rPr>
        <w:t>5</w:t>
      </w:r>
      <w:r w:rsidR="00973DBD" w:rsidRPr="00B03250">
        <w:rPr>
          <w:rFonts w:ascii="Times New Roman" w:eastAsiaTheme="minorEastAsia" w:hAnsi="Times New Roman" w:cs="Times New Roman"/>
          <w:sz w:val="28"/>
          <w:szCs w:val="24"/>
        </w:rPr>
        <w:t>]</w:t>
      </w:r>
      <w:r w:rsidR="005D1036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, </w:t>
      </w:r>
      <w:r w:rsidR="009B5F3F" w:rsidRPr="00B03250">
        <w:rPr>
          <w:rFonts w:ascii="Times New Roman" w:eastAsiaTheme="minorEastAsia" w:hAnsi="Times New Roman" w:cs="Times New Roman"/>
          <w:sz w:val="28"/>
          <w:szCs w:val="24"/>
        </w:rPr>
        <w:t>но и к снижению</w:t>
      </w:r>
      <w:r w:rsidR="005D1036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итоговой прочности</w:t>
      </w:r>
      <w:r w:rsidR="009B5F3F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цементного камня</w:t>
      </w:r>
      <w:r w:rsidR="005D1036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</w:t>
      </w:r>
    </w:p>
    <w:p w:rsidR="00B03250" w:rsidRDefault="00013350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proofErr w:type="gramStart"/>
      <w:r w:rsidRPr="00B03250">
        <w:rPr>
          <w:rFonts w:ascii="Times New Roman" w:eastAsiaTheme="minorEastAsia" w:hAnsi="Times New Roman" w:cs="Times New Roman"/>
          <w:sz w:val="28"/>
          <w:szCs w:val="24"/>
        </w:rPr>
        <w:t>Соответственно на ряду с поисками механизма нейтрализации изб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ы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точной извести в НЦ [</w:t>
      </w:r>
      <w:r w:rsidR="00C416B6" w:rsidRPr="00C416B6">
        <w:rPr>
          <w:rFonts w:ascii="Times New Roman" w:eastAsiaTheme="minorEastAsia" w:hAnsi="Times New Roman" w:cs="Times New Roman"/>
          <w:sz w:val="28"/>
          <w:szCs w:val="24"/>
        </w:rPr>
        <w:t>4</w:t>
      </w:r>
      <w:r w:rsidR="00CA4DE9" w:rsidRPr="00B03250">
        <w:rPr>
          <w:rFonts w:ascii="Times New Roman" w:eastAsiaTheme="minorEastAsia" w:hAnsi="Times New Roman" w:cs="Times New Roman"/>
          <w:sz w:val="28"/>
          <w:szCs w:val="24"/>
        </w:rPr>
        <w:t>,</w:t>
      </w:r>
      <w:r w:rsidR="00C416B6" w:rsidRPr="00C416B6">
        <w:rPr>
          <w:rFonts w:ascii="Times New Roman" w:eastAsiaTheme="minorEastAsia" w:hAnsi="Times New Roman" w:cs="Times New Roman"/>
          <w:sz w:val="28"/>
          <w:szCs w:val="24"/>
        </w:rPr>
        <w:t>5</w:t>
      </w:r>
      <w:r w:rsidR="00CA4DE9" w:rsidRPr="00B03250">
        <w:rPr>
          <w:rFonts w:ascii="Times New Roman" w:eastAsiaTheme="minorEastAsia" w:hAnsi="Times New Roman" w:cs="Times New Roman"/>
          <w:sz w:val="28"/>
          <w:szCs w:val="24"/>
        </w:rPr>
        <w:t>,</w:t>
      </w:r>
      <w:r w:rsidR="00C416B6" w:rsidRPr="00C416B6">
        <w:rPr>
          <w:rFonts w:ascii="Times New Roman" w:eastAsiaTheme="minorEastAsia" w:hAnsi="Times New Roman" w:cs="Times New Roman"/>
          <w:sz w:val="28"/>
          <w:szCs w:val="24"/>
        </w:rPr>
        <w:t>6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], позволяющего с одной стороны затормозить процессы расширения до формирования минимально прочности цементного камня для восприятия внутреннего распора, а с другой ограничить их разв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и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тие марочным возрастом</w:t>
      </w:r>
      <w:r w:rsidR="00D45AE1" w:rsidRPr="00B03250">
        <w:rPr>
          <w:rFonts w:ascii="Times New Roman" w:eastAsiaTheme="minorEastAsia" w:hAnsi="Times New Roman" w:cs="Times New Roman"/>
          <w:sz w:val="28"/>
          <w:szCs w:val="24"/>
        </w:rPr>
        <w:t>, возникает проблема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поиска диапазона оптимал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>ь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>ного массового отношения ПЦ и РД</w:t>
      </w:r>
      <w:r w:rsidR="00B10D73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с точки зрения получения проектного расширения в первые дни твердения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.</w:t>
      </w:r>
      <w:proofErr w:type="gram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>Так изменение пропорции между гл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>и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ноземистым клинкером и гипсовым камнем до верхней границы диапазона, характерного для РД НЦ (путем уменьшения содержания </w:t>
      </w:r>
      <w:proofErr w:type="gramStart"/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>ГЦ</w:t>
      </w:r>
      <w:proofErr w:type="gramEnd"/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при сохран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>е</w:t>
      </w:r>
      <w:r w:rsidR="00B2401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нии его избытка) без добавки ПЦ приводит к замедлению набора прочности и избыточному расширению вплоть до саморазрушения. </w:t>
      </w:r>
    </w:p>
    <w:p w:rsidR="00B03250" w:rsidRPr="00B03250" w:rsidRDefault="00B24019" w:rsidP="007E2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В тоже время </w:t>
      </w:r>
      <w:proofErr w:type="gramStart"/>
      <w:r w:rsidR="00B03250">
        <w:rPr>
          <w:rFonts w:ascii="Times New Roman" w:eastAsiaTheme="minorEastAsia" w:hAnsi="Times New Roman" w:cs="Times New Roman"/>
          <w:sz w:val="28"/>
          <w:szCs w:val="24"/>
        </w:rPr>
        <w:t>и</w:t>
      </w:r>
      <w:r w:rsidR="00B03250" w:rsidRPr="00B03250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="00B03250" w:rsidRPr="00B0325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03250" w:rsidRPr="00B03250">
        <w:rPr>
          <w:rFonts w:ascii="Times New Roman" w:hAnsi="Times New Roman" w:cs="Times New Roman"/>
          <w:sz w:val="28"/>
          <w:szCs w:val="24"/>
        </w:rPr>
        <w:t>рис</w:t>
      </w:r>
      <w:proofErr w:type="gramEnd"/>
      <w:r w:rsidR="00B03250" w:rsidRPr="00B03250">
        <w:rPr>
          <w:rFonts w:ascii="Times New Roman" w:hAnsi="Times New Roman" w:cs="Times New Roman"/>
          <w:sz w:val="28"/>
          <w:szCs w:val="24"/>
        </w:rPr>
        <w:t>. 1 очевидно, что действуя как ускоритель тверд</w:t>
      </w:r>
      <w:r w:rsidR="00B03250" w:rsidRPr="00B03250">
        <w:rPr>
          <w:rFonts w:ascii="Times New Roman" w:hAnsi="Times New Roman" w:cs="Times New Roman"/>
          <w:sz w:val="28"/>
          <w:szCs w:val="24"/>
        </w:rPr>
        <w:t>е</w:t>
      </w:r>
      <w:r w:rsidR="00B03250" w:rsidRPr="00B03250">
        <w:rPr>
          <w:rFonts w:ascii="Times New Roman" w:hAnsi="Times New Roman" w:cs="Times New Roman"/>
          <w:sz w:val="28"/>
          <w:szCs w:val="24"/>
        </w:rPr>
        <w:t>ния, небольшое количество извести 2-4% стабилизирует систему «ГЦ + ги</w:t>
      </w:r>
      <w:r w:rsidR="00B03250" w:rsidRPr="00B03250">
        <w:rPr>
          <w:rFonts w:ascii="Times New Roman" w:hAnsi="Times New Roman" w:cs="Times New Roman"/>
          <w:sz w:val="28"/>
          <w:szCs w:val="24"/>
        </w:rPr>
        <w:t>п</w:t>
      </w:r>
      <w:r w:rsidR="00B03250" w:rsidRPr="00B03250">
        <w:rPr>
          <w:rFonts w:ascii="Times New Roman" w:hAnsi="Times New Roman" w:cs="Times New Roman"/>
          <w:sz w:val="28"/>
          <w:szCs w:val="24"/>
        </w:rPr>
        <w:t xml:space="preserve">совый камень», обеспечивая набор некоторого минимума прочности для восприятия внутреннего распора от образования </w:t>
      </w:r>
      <w:proofErr w:type="spellStart"/>
      <w:r w:rsidR="00B03250" w:rsidRPr="00B03250">
        <w:rPr>
          <w:rFonts w:ascii="Times New Roman" w:hAnsi="Times New Roman" w:cs="Times New Roman"/>
          <w:sz w:val="28"/>
          <w:szCs w:val="24"/>
        </w:rPr>
        <w:t>эттрингита</w:t>
      </w:r>
      <w:proofErr w:type="spellEnd"/>
      <w:r w:rsidR="00B03250" w:rsidRPr="00B03250">
        <w:rPr>
          <w:rFonts w:ascii="Times New Roman" w:hAnsi="Times New Roman" w:cs="Times New Roman"/>
          <w:sz w:val="28"/>
          <w:szCs w:val="24"/>
        </w:rPr>
        <w:t xml:space="preserve">. Дальнейшее увеличение доли извести в системе приводило к активизации процессов </w:t>
      </w:r>
      <w:r w:rsidR="00B03250" w:rsidRPr="00B03250">
        <w:rPr>
          <w:rFonts w:ascii="Times New Roman" w:hAnsi="Times New Roman" w:cs="Times New Roman"/>
          <w:sz w:val="28"/>
          <w:szCs w:val="24"/>
        </w:rPr>
        <w:lastRenderedPageBreak/>
        <w:t>расширения после погружения образцов в воду, что при отсутствии сдерж</w:t>
      </w:r>
      <w:r w:rsidR="00B03250" w:rsidRPr="00B03250">
        <w:rPr>
          <w:rFonts w:ascii="Times New Roman" w:hAnsi="Times New Roman" w:cs="Times New Roman"/>
          <w:sz w:val="28"/>
          <w:szCs w:val="24"/>
        </w:rPr>
        <w:t>и</w:t>
      </w:r>
      <w:r w:rsidR="00B03250" w:rsidRPr="00B03250">
        <w:rPr>
          <w:rFonts w:ascii="Times New Roman" w:hAnsi="Times New Roman" w:cs="Times New Roman"/>
          <w:sz w:val="28"/>
          <w:szCs w:val="24"/>
        </w:rPr>
        <w:t>вающей матрицы в виде продуктов гидратации ПЦ являлось причиной ра</w:t>
      </w:r>
      <w:r w:rsidR="00B03250" w:rsidRPr="00B03250">
        <w:rPr>
          <w:rFonts w:ascii="Times New Roman" w:hAnsi="Times New Roman" w:cs="Times New Roman"/>
          <w:sz w:val="28"/>
          <w:szCs w:val="24"/>
        </w:rPr>
        <w:t>з</w:t>
      </w:r>
      <w:r w:rsidR="00B03250" w:rsidRPr="00B03250">
        <w:rPr>
          <w:rFonts w:ascii="Times New Roman" w:hAnsi="Times New Roman" w:cs="Times New Roman"/>
          <w:sz w:val="28"/>
          <w:szCs w:val="24"/>
        </w:rPr>
        <w:t>рушения. До погружения образцов в воду четко прослеживался эффект у</w:t>
      </w:r>
      <w:r w:rsidR="00B03250" w:rsidRPr="00B03250">
        <w:rPr>
          <w:rFonts w:ascii="Times New Roman" w:hAnsi="Times New Roman" w:cs="Times New Roman"/>
          <w:sz w:val="28"/>
          <w:szCs w:val="24"/>
        </w:rPr>
        <w:t>с</w:t>
      </w:r>
      <w:r w:rsidR="00B03250" w:rsidRPr="00B03250">
        <w:rPr>
          <w:rFonts w:ascii="Times New Roman" w:hAnsi="Times New Roman" w:cs="Times New Roman"/>
          <w:sz w:val="28"/>
          <w:szCs w:val="24"/>
        </w:rPr>
        <w:t>корения схватывания и твердения с увеличением дозировки извести.</w:t>
      </w:r>
    </w:p>
    <w:p w:rsidR="00AE38F7" w:rsidRPr="00B03250" w:rsidRDefault="00AE38F7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5D1036" w:rsidRPr="00B03250" w:rsidRDefault="00D87480" w:rsidP="007E296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noProof/>
          <w:sz w:val="24"/>
          <w:lang w:eastAsia="ru-RU"/>
        </w:rPr>
        <w:drawing>
          <wp:inline distT="0" distB="0" distL="0" distR="0">
            <wp:extent cx="5876925" cy="33909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685F" w:rsidRDefault="008607E5" w:rsidP="007E29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03250">
        <w:rPr>
          <w:rFonts w:ascii="Times New Roman" w:hAnsi="Times New Roman" w:cs="Times New Roman"/>
          <w:sz w:val="28"/>
          <w:szCs w:val="24"/>
        </w:rPr>
        <w:t>Рис.1. Влияние массовой доли извести на кинетику расширения ги</w:t>
      </w:r>
      <w:r w:rsidRPr="00B03250">
        <w:rPr>
          <w:rFonts w:ascii="Times New Roman" w:hAnsi="Times New Roman" w:cs="Times New Roman"/>
          <w:sz w:val="28"/>
          <w:szCs w:val="24"/>
        </w:rPr>
        <w:t>п</w:t>
      </w:r>
      <w:r w:rsidRPr="00B03250">
        <w:rPr>
          <w:rFonts w:ascii="Times New Roman" w:hAnsi="Times New Roman" w:cs="Times New Roman"/>
          <w:sz w:val="28"/>
          <w:szCs w:val="24"/>
        </w:rPr>
        <w:t xml:space="preserve">соглиноземистого вяжущего </w:t>
      </w:r>
      <w:r w:rsidR="00387A31" w:rsidRPr="00B03250">
        <w:rPr>
          <w:rFonts w:ascii="Times New Roman" w:hAnsi="Times New Roman" w:cs="Times New Roman"/>
          <w:sz w:val="28"/>
          <w:szCs w:val="24"/>
        </w:rPr>
        <w:t xml:space="preserve">начиная с момента распалубки и погружения образцов в воду </w:t>
      </w:r>
      <w:r w:rsidRPr="00B03250">
        <w:rPr>
          <w:rFonts w:ascii="Times New Roman" w:hAnsi="Times New Roman" w:cs="Times New Roman"/>
          <w:sz w:val="28"/>
          <w:szCs w:val="24"/>
        </w:rPr>
        <w:t xml:space="preserve">при соотношении масс </w:t>
      </w:r>
      <w:proofErr w:type="gramStart"/>
      <w:r w:rsidRPr="00B03250">
        <w:rPr>
          <w:rFonts w:ascii="Times New Roman" w:hAnsi="Times New Roman" w:cs="Times New Roman"/>
          <w:sz w:val="28"/>
          <w:szCs w:val="24"/>
        </w:rPr>
        <w:t>ГЦ</w:t>
      </w:r>
      <w:proofErr w:type="gramEnd"/>
      <w:r w:rsidRPr="00B03250">
        <w:rPr>
          <w:rFonts w:ascii="Times New Roman" w:hAnsi="Times New Roman" w:cs="Times New Roman"/>
          <w:sz w:val="28"/>
          <w:szCs w:val="24"/>
        </w:rPr>
        <w:t xml:space="preserve"> и гипсового камня 65:35.</w:t>
      </w:r>
    </w:p>
    <w:p w:rsidR="00BC54FD" w:rsidRPr="00B03250" w:rsidRDefault="005E5DD2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Соответственно представляется логичным </w:t>
      </w:r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>ввести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нижний порог ди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пазона отношения масс ПЦ</w:t>
      </w:r>
      <w:proofErr w:type="gramStart"/>
      <w:r w:rsidRPr="00B03250">
        <w:rPr>
          <w:rFonts w:ascii="Times New Roman" w:eastAsiaTheme="minorEastAsia" w:hAnsi="Times New Roman" w:cs="Times New Roman"/>
          <w:sz w:val="28"/>
          <w:szCs w:val="24"/>
        </w:rPr>
        <w:t>:Р</w:t>
      </w:r>
      <w:proofErr w:type="gramEnd"/>
      <w:r w:rsidRPr="00B03250">
        <w:rPr>
          <w:rFonts w:ascii="Times New Roman" w:eastAsiaTheme="minorEastAsia" w:hAnsi="Times New Roman" w:cs="Times New Roman"/>
          <w:sz w:val="28"/>
          <w:szCs w:val="24"/>
        </w:rPr>
        <w:t>Д из условия выделения в процессе гидратации ПЦ количества извести необходимого для стабилизации набора прочности РД,</w:t>
      </w:r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чтобы РД не являлась лишь источником исходных продуктов для обр</w:t>
      </w:r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зования </w:t>
      </w:r>
      <w:proofErr w:type="spellStart"/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>эттрингита</w:t>
      </w:r>
      <w:proofErr w:type="spellEnd"/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>, но и вносил</w:t>
      </w:r>
      <w:r w:rsidR="00531ABB"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соответствующий вклад в набор прочн</w:t>
      </w:r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>о</w:t>
      </w:r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сти системы. Исходя из аналогичных побуждений, следует определять и верхний порог рассматриваемого диапазона, чтобы образование извести при гидратации минералов ПЦ не было избыточным и образование </w:t>
      </w:r>
      <w:proofErr w:type="spellStart"/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>эттрингита</w:t>
      </w:r>
      <w:proofErr w:type="spellEnd"/>
      <w:r w:rsidR="00614A7E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не носило выраженный деструктивный характер для всей системы.</w:t>
      </w:r>
    </w:p>
    <w:p w:rsidR="00512FB1" w:rsidRPr="00B03250" w:rsidRDefault="00512FB1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>При подобном подходе следует учитывать, что количество и инте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н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сивность выделения извести при гидратации ПЦ зависят от содержания о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с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lastRenderedPageBreak/>
        <w:t xml:space="preserve">новных минералов, таких как </w:t>
      </w: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алит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и белит, и будут индивидуальны для ПЦ различных заводов. Соответственно при стремлении к удешевлению пр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о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дукта, т.е. минимизации массовой доли </w:t>
      </w:r>
      <w:proofErr w:type="gramStart"/>
      <w:r w:rsidRPr="00B03250">
        <w:rPr>
          <w:rFonts w:ascii="Times New Roman" w:eastAsiaTheme="minorEastAsia" w:hAnsi="Times New Roman" w:cs="Times New Roman"/>
          <w:sz w:val="28"/>
          <w:szCs w:val="24"/>
        </w:rPr>
        <w:t>ГЦ</w:t>
      </w:r>
      <w:proofErr w:type="gram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как компонента РД в его составе следует предпочесть ПЦ с пониженным содержанием </w:t>
      </w: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алита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5E5DD2" w:rsidRPr="00B03250" w:rsidRDefault="00032560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>Достижение верхнего поро</w:t>
      </w:r>
      <w:r w:rsidR="00531ABB" w:rsidRPr="00B03250">
        <w:rPr>
          <w:rFonts w:ascii="Times New Roman" w:eastAsiaTheme="minorEastAsia" w:hAnsi="Times New Roman" w:cs="Times New Roman"/>
          <w:sz w:val="28"/>
          <w:szCs w:val="24"/>
        </w:rPr>
        <w:t>га диапазона отношения масс ПЦ</w:t>
      </w:r>
      <w:proofErr w:type="gramStart"/>
      <w:r w:rsidR="00531ABB" w:rsidRPr="00B03250">
        <w:rPr>
          <w:rFonts w:ascii="Times New Roman" w:eastAsiaTheme="minorEastAsia" w:hAnsi="Times New Roman" w:cs="Times New Roman"/>
          <w:sz w:val="28"/>
          <w:szCs w:val="24"/>
        </w:rPr>
        <w:t>: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Р</w:t>
      </w:r>
      <w:proofErr w:type="gramEnd"/>
      <w:r w:rsidRPr="00B03250">
        <w:rPr>
          <w:rFonts w:ascii="Times New Roman" w:eastAsiaTheme="minorEastAsia" w:hAnsi="Times New Roman" w:cs="Times New Roman"/>
          <w:sz w:val="28"/>
          <w:szCs w:val="24"/>
        </w:rPr>
        <w:t>Д при очень четко прослеживается по изменению характера кинетики расширения композиции (рис.2)</w:t>
      </w:r>
      <w:r w:rsidR="00E405F3" w:rsidRPr="00B03250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7E2969" w:rsidRDefault="007E2969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drawing>
          <wp:anchor distT="3567" distB="4979" distL="117410" distR="116568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59055</wp:posOffset>
            </wp:positionV>
            <wp:extent cx="6010275" cy="3457575"/>
            <wp:effectExtent l="19050" t="0" r="9525" b="0"/>
            <wp:wrapTopAndBottom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405F3" w:rsidRDefault="00E405F3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>Рис.</w:t>
      </w:r>
      <w:r w:rsidR="00070814" w:rsidRPr="00B03250">
        <w:rPr>
          <w:rFonts w:ascii="Times New Roman" w:eastAsiaTheme="minorEastAsia" w:hAnsi="Times New Roman" w:cs="Times New Roman"/>
          <w:sz w:val="28"/>
          <w:szCs w:val="24"/>
        </w:rPr>
        <w:t>2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. Влияние массовой доли ПЦ (завод «Пролетарий» в НЦ и пр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о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порции компонентов РД (глиноземистого цемента Isidac-40 (ГЦ) и </w:t>
      </w: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двуво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д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ного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гипса (Г) ГЦ</w:t>
      </w:r>
      <w:proofErr w:type="gramStart"/>
      <w:r w:rsidRPr="00B03250">
        <w:rPr>
          <w:rFonts w:ascii="Times New Roman" w:eastAsiaTheme="minorEastAsia" w:hAnsi="Times New Roman" w:cs="Times New Roman"/>
          <w:sz w:val="28"/>
          <w:szCs w:val="24"/>
        </w:rPr>
        <w:t>:Г</w:t>
      </w:r>
      <w:proofErr w:type="gram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65:35</w:t>
      </w:r>
      <w:r w:rsidR="00CE55BC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до 46:54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): а) НЦ-1-1 – НЦ1-4: при доле ПЦ от 15% до 40% составы обладали минимальным сроком расширения с четкой п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о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следующей стабилизацией, б) НЦ2-1, НЦ-2-2: при доле ПЦ от 40% до 67% большая часть составов имела значительно более длительный срок расш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и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рения, в) НЦ3-1: при доле ПЦ 67% и более многие составы показали обра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т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ную кривизну графика расширения при длительном деформировании</w:t>
      </w:r>
      <w:r w:rsidR="00CE55BC" w:rsidRPr="00B03250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7E2969" w:rsidRPr="00B03250" w:rsidRDefault="007E2969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E405F3" w:rsidRPr="00B03250" w:rsidRDefault="00CE55BC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>Для приведенного примера</w:t>
      </w:r>
      <w:r w:rsidR="003C64F9" w:rsidRPr="00B03250">
        <w:rPr>
          <w:rFonts w:ascii="Times New Roman" w:eastAsiaTheme="minorEastAsia" w:hAnsi="Times New Roman" w:cs="Times New Roman"/>
          <w:sz w:val="28"/>
          <w:szCs w:val="24"/>
        </w:rPr>
        <w:t>,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очевидно, что доведение уровня содерж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ния ПЦ до 67% и более может представлять определенную опасность при 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lastRenderedPageBreak/>
        <w:t>неконтролируемом увлажнении системы за пределами марочного возраста</w:t>
      </w:r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>. Соответственно при проектировании составов, способных достигать пр</w:t>
      </w:r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>о</w:t>
      </w:r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>ектную величину расширения в возрасте до 10 суток с последующей стаб</w:t>
      </w:r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>и</w:t>
      </w:r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лизацией собственных деформаций наиболее простым способом является ограничение уровня содержания ПЦ </w:t>
      </w:r>
      <w:r w:rsidR="00CA4DE9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завода «Пролетарий» </w:t>
      </w:r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>н</w:t>
      </w:r>
      <w:r w:rsidR="00CA4DE9" w:rsidRPr="00B03250">
        <w:rPr>
          <w:rFonts w:ascii="Times New Roman" w:eastAsiaTheme="minorEastAsia" w:hAnsi="Times New Roman" w:cs="Times New Roman"/>
          <w:sz w:val="28"/>
          <w:szCs w:val="24"/>
        </w:rPr>
        <w:t>а</w:t>
      </w:r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уровне 15-40% с поправкой на конкретную пропорцию масс компонентов РД. Очевидно, что использование данного цемента не позволяет минимизировать расход </w:t>
      </w:r>
      <w:proofErr w:type="gramStart"/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>ГЦ</w:t>
      </w:r>
      <w:proofErr w:type="gramEnd"/>
      <w:r w:rsidR="00C86716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для поставленных целей без дополнительных усилий по физико-химическому регулированию процессов расширения.</w:t>
      </w:r>
    </w:p>
    <w:p w:rsidR="00E405F3" w:rsidRPr="00B03250" w:rsidRDefault="00CA4DE9" w:rsidP="007E29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eastAsiaTheme="minorEastAsia" w:hAnsi="Times New Roman" w:cs="Times New Roman"/>
          <w:sz w:val="28"/>
          <w:szCs w:val="24"/>
        </w:rPr>
        <w:t>Тем не менее, составы, описанные выше обладают большей эконом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и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ческой </w:t>
      </w:r>
      <w:r w:rsidR="00DE4254" w:rsidRPr="00B03250">
        <w:rPr>
          <w:rFonts w:ascii="Times New Roman" w:eastAsiaTheme="minorEastAsia" w:hAnsi="Times New Roman" w:cs="Times New Roman"/>
          <w:sz w:val="28"/>
          <w:szCs w:val="24"/>
        </w:rPr>
        <w:t>эффективностью,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чем </w:t>
      </w:r>
      <w:proofErr w:type="gramStart"/>
      <w:r w:rsidRPr="00B03250">
        <w:rPr>
          <w:rFonts w:ascii="Times New Roman" w:eastAsiaTheme="minorEastAsia" w:hAnsi="Times New Roman" w:cs="Times New Roman"/>
          <w:sz w:val="28"/>
          <w:szCs w:val="24"/>
        </w:rPr>
        <w:t>гипсоглиноземистое</w:t>
      </w:r>
      <w:proofErr w:type="gram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вяжущее с добавкой и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з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вести, а их собственные деформации носят более предсказуемый характер вследствие меньшего влияния погрешности дозировки компонентов. </w:t>
      </w:r>
    </w:p>
    <w:p w:rsidR="005E5DD2" w:rsidRPr="00B03250" w:rsidRDefault="005E5DD2" w:rsidP="007E2969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C416B6" w:rsidRPr="00DE4254" w:rsidRDefault="00C91E08" w:rsidP="007E2969">
      <w:pPr>
        <w:spacing w:after="0" w:line="360" w:lineRule="auto"/>
        <w:ind w:left="360" w:firstLine="709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DE4254">
        <w:rPr>
          <w:rFonts w:ascii="Times New Roman" w:eastAsiaTheme="minorEastAsia" w:hAnsi="Times New Roman" w:cs="Times New Roman"/>
          <w:b/>
          <w:sz w:val="28"/>
          <w:szCs w:val="24"/>
        </w:rPr>
        <w:t>Литература</w:t>
      </w:r>
      <w:r w:rsidR="00DE4254" w:rsidRPr="00DE4254">
        <w:rPr>
          <w:rFonts w:ascii="Times New Roman" w:eastAsiaTheme="minorEastAsia" w:hAnsi="Times New Roman" w:cs="Times New Roman"/>
          <w:b/>
          <w:sz w:val="28"/>
          <w:szCs w:val="24"/>
        </w:rPr>
        <w:t>:</w:t>
      </w:r>
      <w:r w:rsidRPr="00DE4254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</w:p>
    <w:p w:rsidR="00C416B6" w:rsidRDefault="00C416B6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Виноградова</w:t>
      </w:r>
      <w:r w:rsidR="0051433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Е.В. </w:t>
      </w:r>
      <w:r w:rsidR="0051433D">
        <w:rPr>
          <w:rFonts w:ascii="Times New Roman" w:eastAsiaTheme="minorEastAsia" w:hAnsi="Times New Roman" w:cs="Times New Roman"/>
          <w:sz w:val="28"/>
          <w:szCs w:val="24"/>
        </w:rPr>
        <w:t>Высокопрочный быстротвердеющий бетон с компенсированной усадкой</w:t>
      </w:r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: </w:t>
      </w:r>
      <w:proofErr w:type="spellStart"/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>Дисс</w:t>
      </w:r>
      <w:proofErr w:type="spellEnd"/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...канд. </w:t>
      </w:r>
      <w:proofErr w:type="spellStart"/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>техн</w:t>
      </w:r>
      <w:proofErr w:type="spellEnd"/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</w:t>
      </w:r>
      <w:r w:rsidR="0051433D">
        <w:rPr>
          <w:rFonts w:ascii="Times New Roman" w:eastAsiaTheme="minorEastAsia" w:hAnsi="Times New Roman" w:cs="Times New Roman"/>
          <w:sz w:val="28"/>
          <w:szCs w:val="24"/>
        </w:rPr>
        <w:t>н</w:t>
      </w:r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>аук</w:t>
      </w:r>
      <w:r w:rsidR="0051433D">
        <w:rPr>
          <w:rFonts w:ascii="Times New Roman" w:eastAsiaTheme="minorEastAsia" w:hAnsi="Times New Roman" w:cs="Times New Roman"/>
          <w:sz w:val="28"/>
          <w:szCs w:val="24"/>
        </w:rPr>
        <w:t>: 05.23.05</w:t>
      </w:r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>. – Ростов-на-Дону, 20</w:t>
      </w:r>
      <w:r w:rsidR="0051433D">
        <w:rPr>
          <w:rFonts w:ascii="Times New Roman" w:eastAsiaTheme="minorEastAsia" w:hAnsi="Times New Roman" w:cs="Times New Roman"/>
          <w:sz w:val="28"/>
          <w:szCs w:val="24"/>
        </w:rPr>
        <w:t>06</w:t>
      </w:r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- </w:t>
      </w:r>
      <w:r w:rsidR="0051433D">
        <w:rPr>
          <w:rFonts w:ascii="Times New Roman" w:eastAsiaTheme="minorEastAsia" w:hAnsi="Times New Roman" w:cs="Times New Roman"/>
          <w:sz w:val="28"/>
          <w:szCs w:val="24"/>
        </w:rPr>
        <w:t>216</w:t>
      </w:r>
      <w:r w:rsidR="0051433D"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с.</w:t>
      </w:r>
      <w:bookmarkStart w:id="0" w:name="_GoBack"/>
      <w:bookmarkEnd w:id="0"/>
    </w:p>
    <w:p w:rsidR="00C416B6" w:rsidRPr="00C416B6" w:rsidRDefault="00C416B6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416B6">
        <w:rPr>
          <w:rFonts w:ascii="Times New Roman" w:hAnsi="Times New Roman" w:cs="Times New Roman"/>
          <w:color w:val="000000" w:themeColor="text1"/>
          <w:sz w:val="28"/>
          <w:szCs w:val="24"/>
        </w:rPr>
        <w:t>ГОСТ 11052-74. Цемент гипсоглиноземистый расширяющийся</w:t>
      </w:r>
    </w:p>
    <w:p w:rsidR="0066480D" w:rsidRPr="00B03250" w:rsidRDefault="00BE23B3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proofErr w:type="gramStart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Моргун</w:t>
      </w:r>
      <w:proofErr w:type="gramEnd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070814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В.Н. 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Роль расширяющих добавок в управлении свойс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вами пенобетонов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61E76" w:rsidRPr="00961E76">
        <w:rPr>
          <w:rFonts w:ascii="Times New Roman" w:hAnsi="Times New Roman" w:cs="Times New Roman"/>
          <w:color w:val="000000" w:themeColor="text1"/>
          <w:sz w:val="28"/>
          <w:szCs w:val="24"/>
        </w:rPr>
        <w:t>[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Электронный ресурс</w:t>
      </w:r>
      <w:r w:rsidR="00961E76" w:rsidRPr="00961E76">
        <w:rPr>
          <w:rFonts w:ascii="Times New Roman" w:hAnsi="Times New Roman" w:cs="Times New Roman"/>
          <w:color w:val="000000" w:themeColor="text1"/>
          <w:sz w:val="28"/>
          <w:szCs w:val="24"/>
        </w:rPr>
        <w:t>]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// 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Инженерный вестник Дона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», 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200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9,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№3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Режим доступа:</w:t>
      </w:r>
      <w:r w:rsidR="0066480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http://ivdon.ru/magazine/archive/n3y2008/90 (до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туп свободный) – </w:t>
      </w:r>
      <w:proofErr w:type="spellStart"/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Загл</w:t>
      </w:r>
      <w:proofErr w:type="spellEnd"/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. с экрана. – Яз. Рус.</w:t>
      </w:r>
    </w:p>
    <w:p w:rsidR="005A3BA1" w:rsidRPr="00B03250" w:rsidRDefault="005A3BA1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Резван</w:t>
      </w:r>
      <w:proofErr w:type="spellEnd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И.В. Самоуплотняющийся высокопрочный напрягающий бетон для </w:t>
      </w:r>
      <w:proofErr w:type="spellStart"/>
      <w:proofErr w:type="gramStart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трубо-бетонных</w:t>
      </w:r>
      <w:proofErr w:type="spellEnd"/>
      <w:proofErr w:type="gramEnd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колонн // Строительные материалы. – 2012. – № 6. – С. 60 - 62.</w:t>
      </w:r>
    </w:p>
    <w:p w:rsidR="005A3BA1" w:rsidRPr="00B03250" w:rsidRDefault="005A3BA1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proofErr w:type="spellStart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Резван</w:t>
      </w:r>
      <w:proofErr w:type="spellEnd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И.В., </w:t>
      </w:r>
      <w:proofErr w:type="spellStart"/>
      <w:r w:rsidR="00973DB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Резван</w:t>
      </w:r>
      <w:proofErr w:type="spellEnd"/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73DB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973DB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973DB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возможности физико-химического регулирования кинетики </w:t>
      </w:r>
      <w:proofErr w:type="spellStart"/>
      <w:r w:rsidR="00973DB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самонапряжения</w:t>
      </w:r>
      <w:proofErr w:type="spellEnd"/>
      <w:r w:rsidR="00973DB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НЦ </w:t>
      </w:r>
      <w:r w:rsidR="00961E76" w:rsidRPr="00961E76">
        <w:rPr>
          <w:rFonts w:ascii="Times New Roman" w:hAnsi="Times New Roman" w:cs="Times New Roman"/>
          <w:color w:val="000000" w:themeColor="text1"/>
          <w:sz w:val="28"/>
          <w:szCs w:val="24"/>
        </w:rPr>
        <w:t>[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Электронный ресурс</w:t>
      </w:r>
      <w:r w:rsidR="00961E76" w:rsidRPr="00961E76">
        <w:rPr>
          <w:rFonts w:ascii="Times New Roman" w:hAnsi="Times New Roman" w:cs="Times New Roman"/>
          <w:color w:val="000000" w:themeColor="text1"/>
          <w:sz w:val="28"/>
          <w:szCs w:val="24"/>
        </w:rPr>
        <w:t>]</w:t>
      </w:r>
      <w:r w:rsidR="00961E76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// 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961E76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Инженерный вестник Дона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», 2012, №4, часть </w:t>
      </w:r>
      <w:r w:rsidR="00973DBD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– Режим доступа:</w:t>
      </w:r>
      <w:r w:rsidR="00961E76"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http://www.ivdon.ru/magazine/archive/n4p1y2012/1128  (доступ свободный) – </w:t>
      </w:r>
      <w:proofErr w:type="spellStart"/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Загл</w:t>
      </w:r>
      <w:proofErr w:type="spellEnd"/>
      <w:r w:rsidR="00961E76">
        <w:rPr>
          <w:rFonts w:ascii="Times New Roman" w:hAnsi="Times New Roman" w:cs="Times New Roman"/>
          <w:color w:val="000000" w:themeColor="text1"/>
          <w:sz w:val="28"/>
          <w:szCs w:val="24"/>
        </w:rPr>
        <w:t>. с экрана. – Яз. Рус.</w:t>
      </w:r>
    </w:p>
    <w:p w:rsidR="00973DBD" w:rsidRPr="00B03250" w:rsidRDefault="00973DBD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Резван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И.В. Трубобетонные колонны из высокопрочного сам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о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уплотняющегося напрягающего бетона: </w:t>
      </w: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Дисс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...канд. </w:t>
      </w: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техн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</w:t>
      </w:r>
      <w:r w:rsidR="00961E76">
        <w:rPr>
          <w:rFonts w:ascii="Times New Roman" w:eastAsiaTheme="minorEastAsia" w:hAnsi="Times New Roman" w:cs="Times New Roman"/>
          <w:sz w:val="28"/>
          <w:szCs w:val="24"/>
        </w:rPr>
        <w:t>н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аук</w:t>
      </w:r>
      <w:r w:rsidR="00961E76">
        <w:rPr>
          <w:rFonts w:ascii="Times New Roman" w:eastAsiaTheme="minorEastAsia" w:hAnsi="Times New Roman" w:cs="Times New Roman"/>
          <w:sz w:val="28"/>
          <w:szCs w:val="24"/>
        </w:rPr>
        <w:t>: 05.23.05</w:t>
      </w:r>
      <w:r w:rsidR="00C416B6" w:rsidRPr="00C416B6">
        <w:rPr>
          <w:rFonts w:ascii="Times New Roman" w:eastAsiaTheme="minorEastAsia" w:hAnsi="Times New Roman" w:cs="Times New Roman"/>
          <w:sz w:val="28"/>
          <w:szCs w:val="24"/>
        </w:rPr>
        <w:t>, 05.23.01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. – Ростов-на-Дону, 2012. - 203 с.</w:t>
      </w:r>
    </w:p>
    <w:p w:rsidR="00CA4DE9" w:rsidRDefault="00CA4DE9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03250">
        <w:rPr>
          <w:rFonts w:ascii="Times New Roman" w:hAnsi="Times New Roman" w:cs="Times New Roman"/>
          <w:color w:val="000000" w:themeColor="text1"/>
          <w:sz w:val="28"/>
          <w:szCs w:val="24"/>
        </w:rPr>
        <w:t>ТУ 5732-072-46854090-98. Цемент напрягающий</w:t>
      </w:r>
    </w:p>
    <w:p w:rsidR="00C416B6" w:rsidRPr="00B03250" w:rsidRDefault="00C416B6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Чмель</w:t>
      </w:r>
      <w:proofErr w:type="spellEnd"/>
      <w:r w:rsidRPr="00C416B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Г.В. </w:t>
      </w:r>
      <w:r>
        <w:rPr>
          <w:rFonts w:ascii="Times New Roman" w:eastAsiaTheme="minorEastAsia" w:hAnsi="Times New Roman" w:cs="Times New Roman"/>
          <w:sz w:val="28"/>
          <w:szCs w:val="24"/>
        </w:rPr>
        <w:t>Модифицирование расширяющихся вяжущих в</w:t>
      </w:r>
      <w:r>
        <w:rPr>
          <w:rFonts w:ascii="Times New Roman" w:eastAsiaTheme="minorEastAsia" w:hAnsi="Times New Roman" w:cs="Times New Roman"/>
          <w:sz w:val="28"/>
          <w:szCs w:val="24"/>
        </w:rPr>
        <w:t>е</w:t>
      </w:r>
      <w:r>
        <w:rPr>
          <w:rFonts w:ascii="Times New Roman" w:eastAsiaTheme="minorEastAsia" w:hAnsi="Times New Roman" w:cs="Times New Roman"/>
          <w:sz w:val="28"/>
          <w:szCs w:val="24"/>
        </w:rPr>
        <w:t>ществ с целью управления собственными деформациями и прочностью б</w:t>
      </w:r>
      <w:r>
        <w:rPr>
          <w:rFonts w:ascii="Times New Roman" w:eastAsiaTheme="minorEastAsia" w:hAnsi="Times New Roman" w:cs="Times New Roman"/>
          <w:sz w:val="28"/>
          <w:szCs w:val="24"/>
        </w:rPr>
        <w:t>е</w:t>
      </w:r>
      <w:r>
        <w:rPr>
          <w:rFonts w:ascii="Times New Roman" w:eastAsiaTheme="minorEastAsia" w:hAnsi="Times New Roman" w:cs="Times New Roman"/>
          <w:sz w:val="28"/>
          <w:szCs w:val="24"/>
        </w:rPr>
        <w:t>тонов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: </w:t>
      </w: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Дисс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...канд. </w:t>
      </w:r>
      <w:proofErr w:type="spellStart"/>
      <w:r w:rsidRPr="00B03250">
        <w:rPr>
          <w:rFonts w:ascii="Times New Roman" w:eastAsiaTheme="minorEastAsia" w:hAnsi="Times New Roman" w:cs="Times New Roman"/>
          <w:sz w:val="28"/>
          <w:szCs w:val="24"/>
        </w:rPr>
        <w:t>техн</w:t>
      </w:r>
      <w:proofErr w:type="spellEnd"/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4"/>
        </w:rPr>
        <w:t>н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аук</w:t>
      </w:r>
      <w:r>
        <w:rPr>
          <w:rFonts w:ascii="Times New Roman" w:eastAsiaTheme="minorEastAsia" w:hAnsi="Times New Roman" w:cs="Times New Roman"/>
          <w:sz w:val="28"/>
          <w:szCs w:val="24"/>
        </w:rPr>
        <w:t>: 05.23.05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>. – Ростов-на-Дону, 20</w:t>
      </w:r>
      <w:r>
        <w:rPr>
          <w:rFonts w:ascii="Times New Roman" w:eastAsiaTheme="minorEastAsia" w:hAnsi="Times New Roman" w:cs="Times New Roman"/>
          <w:sz w:val="28"/>
          <w:szCs w:val="24"/>
        </w:rPr>
        <w:t>04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. - </w:t>
      </w:r>
      <w:r>
        <w:rPr>
          <w:rFonts w:ascii="Times New Roman" w:eastAsiaTheme="minorEastAsia" w:hAnsi="Times New Roman" w:cs="Times New Roman"/>
          <w:sz w:val="28"/>
          <w:szCs w:val="24"/>
        </w:rPr>
        <w:t>179</w:t>
      </w:r>
      <w:r w:rsidRPr="00B03250">
        <w:rPr>
          <w:rFonts w:ascii="Times New Roman" w:eastAsiaTheme="minorEastAsia" w:hAnsi="Times New Roman" w:cs="Times New Roman"/>
          <w:sz w:val="28"/>
          <w:szCs w:val="24"/>
        </w:rPr>
        <w:t xml:space="preserve"> с.</w:t>
      </w:r>
    </w:p>
    <w:p w:rsidR="00973DBD" w:rsidRPr="00B03250" w:rsidRDefault="00973DBD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proofErr w:type="spellStart"/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Matusumoto</w:t>
      </w:r>
      <w:proofErr w:type="spellEnd"/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S. Expansive Additive for Cement. CEER (May 1970)</w:t>
      </w:r>
      <w:r w:rsidR="00592D5A" w:rsidRPr="00592D5A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592D5A" w:rsidRPr="007E2969">
        <w:rPr>
          <w:rFonts w:ascii="Times New Roman" w:eastAsiaTheme="minorEastAsia" w:hAnsi="Times New Roman" w:cs="Times New Roman"/>
          <w:sz w:val="28"/>
          <w:szCs w:val="24"/>
        </w:rPr>
        <w:t xml:space="preserve">P. </w:t>
      </w:r>
      <w:r w:rsidR="00592D5A">
        <w:rPr>
          <w:rFonts w:ascii="Times New Roman" w:eastAsiaTheme="minorEastAsia" w:hAnsi="Times New Roman" w:cs="Times New Roman"/>
          <w:sz w:val="28"/>
          <w:szCs w:val="24"/>
        </w:rPr>
        <w:t>220</w:t>
      </w:r>
    </w:p>
    <w:p w:rsidR="005A3BA1" w:rsidRPr="007E2969" w:rsidRDefault="00CE7B79" w:rsidP="007E2969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4"/>
        </w:rPr>
      </w:pPr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Yan Fu, </w:t>
      </w:r>
      <w:proofErr w:type="spellStart"/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Jian</w:t>
      </w:r>
      <w:proofErr w:type="spellEnd"/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Ding, J.J. </w:t>
      </w:r>
      <w:proofErr w:type="spellStart"/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Beaudoin</w:t>
      </w:r>
      <w:proofErr w:type="spellEnd"/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. Expansion characteristics of a compounded-expansive additive and pre-hydrated high alumina cement based e</w:t>
      </w:r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x</w:t>
      </w:r>
      <w:r w:rsidRPr="00B0325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pansive additive // Cement and Concrete Research, Volume 25, Issue 6, August </w:t>
      </w:r>
      <w:r w:rsidRPr="009C7FA9">
        <w:rPr>
          <w:rFonts w:ascii="Times New Roman" w:eastAsiaTheme="minorEastAsia" w:hAnsi="Times New Roman" w:cs="Times New Roman"/>
          <w:sz w:val="28"/>
          <w:szCs w:val="24"/>
          <w:lang w:val="en-US"/>
        </w:rPr>
        <w:t>1995.</w:t>
      </w:r>
      <w:r w:rsidR="007E2969" w:rsidRPr="009C7FA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- </w:t>
      </w:r>
      <w:r w:rsidR="007E2969" w:rsidRPr="007E2969">
        <w:rPr>
          <w:rFonts w:ascii="Times New Roman" w:eastAsiaTheme="minorEastAsia" w:hAnsi="Times New Roman" w:cs="Times New Roman"/>
          <w:sz w:val="28"/>
          <w:szCs w:val="24"/>
        </w:rPr>
        <w:t>P. 1295-1304</w:t>
      </w:r>
    </w:p>
    <w:sectPr w:rsidR="005A3BA1" w:rsidRPr="007E2969" w:rsidSect="00B03250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562"/>
    <w:multiLevelType w:val="hybridMultilevel"/>
    <w:tmpl w:val="BD6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1D59"/>
    <w:multiLevelType w:val="hybridMultilevel"/>
    <w:tmpl w:val="5A4A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6A05"/>
    <w:rsid w:val="00005B51"/>
    <w:rsid w:val="00013350"/>
    <w:rsid w:val="000305D9"/>
    <w:rsid w:val="00032560"/>
    <w:rsid w:val="00050A91"/>
    <w:rsid w:val="000649C9"/>
    <w:rsid w:val="00070814"/>
    <w:rsid w:val="00081E64"/>
    <w:rsid w:val="000D046A"/>
    <w:rsid w:val="000D049F"/>
    <w:rsid w:val="001002A9"/>
    <w:rsid w:val="00140CFF"/>
    <w:rsid w:val="001708F4"/>
    <w:rsid w:val="00174C12"/>
    <w:rsid w:val="001F7188"/>
    <w:rsid w:val="001F72D6"/>
    <w:rsid w:val="00204831"/>
    <w:rsid w:val="002676D9"/>
    <w:rsid w:val="002D3955"/>
    <w:rsid w:val="002D7555"/>
    <w:rsid w:val="002E0059"/>
    <w:rsid w:val="002E2AA0"/>
    <w:rsid w:val="00325242"/>
    <w:rsid w:val="00347C35"/>
    <w:rsid w:val="00353279"/>
    <w:rsid w:val="00361DD8"/>
    <w:rsid w:val="00361DEF"/>
    <w:rsid w:val="00366436"/>
    <w:rsid w:val="00370024"/>
    <w:rsid w:val="00382CD1"/>
    <w:rsid w:val="00386CBF"/>
    <w:rsid w:val="00387A31"/>
    <w:rsid w:val="003955C9"/>
    <w:rsid w:val="003A2CCD"/>
    <w:rsid w:val="003C0D0E"/>
    <w:rsid w:val="003C452A"/>
    <w:rsid w:val="003C5AA5"/>
    <w:rsid w:val="003C611D"/>
    <w:rsid w:val="003C64F9"/>
    <w:rsid w:val="003C71FF"/>
    <w:rsid w:val="003D0A73"/>
    <w:rsid w:val="00465AC3"/>
    <w:rsid w:val="004A14B6"/>
    <w:rsid w:val="004D721C"/>
    <w:rsid w:val="00506251"/>
    <w:rsid w:val="00512FB1"/>
    <w:rsid w:val="0051433D"/>
    <w:rsid w:val="005236E6"/>
    <w:rsid w:val="0052794B"/>
    <w:rsid w:val="00531ABB"/>
    <w:rsid w:val="00535C41"/>
    <w:rsid w:val="0055221E"/>
    <w:rsid w:val="00554F7C"/>
    <w:rsid w:val="00560A21"/>
    <w:rsid w:val="00592D5A"/>
    <w:rsid w:val="00593D2B"/>
    <w:rsid w:val="005A3BA1"/>
    <w:rsid w:val="005B0CC8"/>
    <w:rsid w:val="005D1036"/>
    <w:rsid w:val="005D654F"/>
    <w:rsid w:val="005E5DD2"/>
    <w:rsid w:val="005E6A05"/>
    <w:rsid w:val="005F344E"/>
    <w:rsid w:val="00614A7E"/>
    <w:rsid w:val="00620BDE"/>
    <w:rsid w:val="0064746B"/>
    <w:rsid w:val="00661D1E"/>
    <w:rsid w:val="0066480D"/>
    <w:rsid w:val="0066690B"/>
    <w:rsid w:val="006E18A7"/>
    <w:rsid w:val="007727A1"/>
    <w:rsid w:val="00775DC0"/>
    <w:rsid w:val="007E2969"/>
    <w:rsid w:val="007F67D0"/>
    <w:rsid w:val="007F722C"/>
    <w:rsid w:val="00824B32"/>
    <w:rsid w:val="0083292A"/>
    <w:rsid w:val="00832EDE"/>
    <w:rsid w:val="008547EF"/>
    <w:rsid w:val="008607E5"/>
    <w:rsid w:val="008B289D"/>
    <w:rsid w:val="00904ED3"/>
    <w:rsid w:val="00916EC6"/>
    <w:rsid w:val="009217CF"/>
    <w:rsid w:val="00924357"/>
    <w:rsid w:val="00961E76"/>
    <w:rsid w:val="009708AF"/>
    <w:rsid w:val="00973DBD"/>
    <w:rsid w:val="009871FF"/>
    <w:rsid w:val="009B5F3F"/>
    <w:rsid w:val="009C7FA9"/>
    <w:rsid w:val="009E7BF7"/>
    <w:rsid w:val="00A36A69"/>
    <w:rsid w:val="00A821CA"/>
    <w:rsid w:val="00AA16C0"/>
    <w:rsid w:val="00AA1EE5"/>
    <w:rsid w:val="00AA7A8B"/>
    <w:rsid w:val="00AC4896"/>
    <w:rsid w:val="00AE38F7"/>
    <w:rsid w:val="00AF4826"/>
    <w:rsid w:val="00B0232D"/>
    <w:rsid w:val="00B03250"/>
    <w:rsid w:val="00B10BCA"/>
    <w:rsid w:val="00B10D73"/>
    <w:rsid w:val="00B24019"/>
    <w:rsid w:val="00B4685F"/>
    <w:rsid w:val="00B615E1"/>
    <w:rsid w:val="00B84F13"/>
    <w:rsid w:val="00B939DD"/>
    <w:rsid w:val="00BC54FD"/>
    <w:rsid w:val="00BE23B3"/>
    <w:rsid w:val="00BF5756"/>
    <w:rsid w:val="00C416B6"/>
    <w:rsid w:val="00C521BE"/>
    <w:rsid w:val="00C86716"/>
    <w:rsid w:val="00C91E08"/>
    <w:rsid w:val="00CA4BEE"/>
    <w:rsid w:val="00CA4DE9"/>
    <w:rsid w:val="00CC4270"/>
    <w:rsid w:val="00CE55BC"/>
    <w:rsid w:val="00CE6E57"/>
    <w:rsid w:val="00CE7B79"/>
    <w:rsid w:val="00CF0661"/>
    <w:rsid w:val="00CF7FE6"/>
    <w:rsid w:val="00D276EC"/>
    <w:rsid w:val="00D44502"/>
    <w:rsid w:val="00D45AE1"/>
    <w:rsid w:val="00D52F49"/>
    <w:rsid w:val="00D57B2C"/>
    <w:rsid w:val="00D828E2"/>
    <w:rsid w:val="00D87480"/>
    <w:rsid w:val="00DB1D93"/>
    <w:rsid w:val="00DE4254"/>
    <w:rsid w:val="00DE7FB8"/>
    <w:rsid w:val="00E04E21"/>
    <w:rsid w:val="00E405F3"/>
    <w:rsid w:val="00E5560C"/>
    <w:rsid w:val="00EB06DB"/>
    <w:rsid w:val="00EC70D3"/>
    <w:rsid w:val="00EE4097"/>
    <w:rsid w:val="00F13DE7"/>
    <w:rsid w:val="00F2341F"/>
    <w:rsid w:val="00F2576B"/>
    <w:rsid w:val="00FA2A6A"/>
    <w:rsid w:val="00FB6868"/>
    <w:rsid w:val="00FD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27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24B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B3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1E76"/>
    <w:rPr>
      <w:color w:val="0000FF" w:themeColor="hyperlink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7E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E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27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24B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B3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1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I:\TSP2\&#1058;&#1088;&#1091;&#1073;&#1086;&#1073;&#1077;&#1090;&#1086;&#1085;\&#1063;&#1091;&#1085;&#1100;&#1082;&#1080;&#1085;%20&#1076;&#1080;&#1089;&#1089;&#1077;&#1088;\&#1069;&#1082;&#1089;&#1087;&#1077;&#1088;&#1080;&#1084;&#1077;&#1085;&#1090;&#1072;&#1083;&#1100;&#1085;&#1099;&#1077;%20&#1076;&#1072;&#1085;&#1085;&#1099;&#1077;\2013\&#1054;&#1073;&#1086;&#1073;&#1097;&#1077;&#1085;&#1080;&#1077;4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353202689551446"/>
          <c:y val="0.1270351174457624"/>
          <c:w val="0.69905865699371983"/>
          <c:h val="0.66962023265610549"/>
        </c:manualLayout>
      </c:layout>
      <c:scatterChart>
        <c:scatterStyle val="lineMarker"/>
        <c:ser>
          <c:idx val="6"/>
          <c:order val="0"/>
          <c:tx>
            <c:v>0%</c:v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Лист1!$A$3:$A$5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Лист1!$B$3:$B$5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12</c:v>
                </c:pt>
              </c:numCache>
            </c:numRef>
          </c:yVal>
        </c:ser>
        <c:ser>
          <c:idx val="1"/>
          <c:order val="1"/>
          <c:tx>
            <c:v>2%</c:v>
          </c:tx>
          <c:spPr>
            <a:ln w="38100">
              <a:solidFill>
                <a:srgbClr val="00B0F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xVal>
            <c:numRef>
              <c:f>Лист1!$D$3:$D$11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13</c:v>
                </c:pt>
                <c:pt idx="5">
                  <c:v>20</c:v>
                </c:pt>
                <c:pt idx="6">
                  <c:v>29</c:v>
                </c:pt>
                <c:pt idx="7">
                  <c:v>38</c:v>
                </c:pt>
                <c:pt idx="8">
                  <c:v>49</c:v>
                </c:pt>
              </c:numCache>
            </c:numRef>
          </c:xVal>
          <c:yVal>
            <c:numRef>
              <c:f>Лист1!$E$3:$E$11</c:f>
              <c:numCache>
                <c:formatCode>General</c:formatCode>
                <c:ptCount val="9"/>
                <c:pt idx="0">
                  <c:v>0</c:v>
                </c:pt>
                <c:pt idx="1">
                  <c:v>0.8</c:v>
                </c:pt>
                <c:pt idx="2">
                  <c:v>0.9</c:v>
                </c:pt>
                <c:pt idx="3">
                  <c:v>1.4</c:v>
                </c:pt>
                <c:pt idx="4">
                  <c:v>3.2</c:v>
                </c:pt>
                <c:pt idx="5">
                  <c:v>5</c:v>
                </c:pt>
                <c:pt idx="6">
                  <c:v>7.4</c:v>
                </c:pt>
                <c:pt idx="7">
                  <c:v>9.2000000000000011</c:v>
                </c:pt>
                <c:pt idx="8">
                  <c:v>9.3000000000000007</c:v>
                </c:pt>
              </c:numCache>
            </c:numRef>
          </c:yVal>
        </c:ser>
        <c:ser>
          <c:idx val="0"/>
          <c:order val="2"/>
          <c:tx>
            <c:v>4%</c:v>
          </c:tx>
          <c:spPr>
            <a:ln w="38100">
              <a:solidFill>
                <a:srgbClr val="00B05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xVal>
            <c:numRef>
              <c:f>Лист1!$G$3:$G$11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13</c:v>
                </c:pt>
                <c:pt idx="5">
                  <c:v>20</c:v>
                </c:pt>
                <c:pt idx="6">
                  <c:v>29</c:v>
                </c:pt>
                <c:pt idx="7">
                  <c:v>38</c:v>
                </c:pt>
                <c:pt idx="8">
                  <c:v>49</c:v>
                </c:pt>
              </c:numCache>
            </c:numRef>
          </c:xVal>
          <c:yVal>
            <c:numRef>
              <c:f>Лист1!$H$3:$H$11</c:f>
              <c:numCache>
                <c:formatCode>General</c:formatCode>
                <c:ptCount val="9"/>
                <c:pt idx="0">
                  <c:v>0</c:v>
                </c:pt>
                <c:pt idx="1">
                  <c:v>0.70000000000000062</c:v>
                </c:pt>
                <c:pt idx="2">
                  <c:v>0.8</c:v>
                </c:pt>
                <c:pt idx="3">
                  <c:v>1.2</c:v>
                </c:pt>
                <c:pt idx="4">
                  <c:v>1.7000000000000006</c:v>
                </c:pt>
                <c:pt idx="5">
                  <c:v>2</c:v>
                </c:pt>
                <c:pt idx="6">
                  <c:v>2.8</c:v>
                </c:pt>
                <c:pt idx="7">
                  <c:v>2.9</c:v>
                </c:pt>
                <c:pt idx="8">
                  <c:v>2.7</c:v>
                </c:pt>
              </c:numCache>
            </c:numRef>
          </c:yVal>
        </c:ser>
        <c:ser>
          <c:idx val="2"/>
          <c:order val="3"/>
          <c:tx>
            <c:v>8%</c:v>
          </c:tx>
          <c:xVal>
            <c:numRef>
              <c:f>Лист1!$J$3:$J$4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xVal>
          <c:yVal>
            <c:numRef>
              <c:f>Лист1!$K$3:$K$4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yVal>
        </c:ser>
        <c:axId val="96436608"/>
        <c:axId val="96465280"/>
      </c:scatterChart>
      <c:valAx>
        <c:axId val="96436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Время твердения, сут</a:t>
                </a:r>
              </a:p>
            </c:rich>
          </c:tx>
          <c:layout>
            <c:manualLayout>
              <c:xMode val="edge"/>
              <c:yMode val="edge"/>
              <c:x val="0.36171677622866016"/>
              <c:y val="0.89015328083989531"/>
            </c:manualLayout>
          </c:layout>
          <c:spPr>
            <a:noFill/>
            <a:ln w="25400">
              <a:noFill/>
            </a:ln>
          </c:spPr>
        </c:title>
        <c:numFmt formatCode="0" sourceLinked="0"/>
        <c:majorTickMark val="none"/>
        <c:tickLblPos val="nextTo"/>
        <c:spPr>
          <a:ln w="12700">
            <a:solidFill>
              <a:srgbClr val="878787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465280"/>
        <c:crossesAt val="-10"/>
        <c:crossBetween val="midCat"/>
      </c:valAx>
      <c:valAx>
        <c:axId val="96465280"/>
        <c:scaling>
          <c:orientation val="minMax"/>
          <c:min val="0"/>
        </c:scaling>
        <c:axPos val="l"/>
        <c:majorGridlines>
          <c:spPr>
            <a:ln w="12700">
              <a:solidFill>
                <a:srgbClr val="878787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Свободное расширение, мм/м</a:t>
                </a:r>
              </a:p>
            </c:rich>
          </c:tx>
          <c:layout>
            <c:manualLayout>
              <c:xMode val="edge"/>
              <c:yMode val="edge"/>
              <c:x val="9.3796624045847706E-3"/>
              <c:y val="6.6893438320210066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12700">
            <a:solidFill>
              <a:srgbClr val="878787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436608"/>
        <c:crossesAt val="0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564253413277465"/>
          <c:y val="0.35735616797900366"/>
          <c:w val="0.10806578535481239"/>
          <c:h val="0.27014488188976438"/>
        </c:manualLayout>
      </c:layout>
      <c:spPr>
        <a:noFill/>
        <a:ln w="25400">
          <a:noFill/>
        </a:ln>
      </c:spPr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2700">
      <a:solidFill>
        <a:srgbClr val="878787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783599752091234"/>
          <c:y val="5.4586102269131312E-2"/>
          <c:w val="0.69756758218217951"/>
          <c:h val="0.78138782238996951"/>
        </c:manualLayout>
      </c:layout>
      <c:scatterChart>
        <c:scatterStyle val="lineMarker"/>
        <c:ser>
          <c:idx val="3"/>
          <c:order val="0"/>
          <c:tx>
            <c:v>НЦ-1-1</c:v>
          </c:tx>
          <c:spPr>
            <a:ln w="38100">
              <a:solidFill>
                <a:srgbClr val="00B050"/>
              </a:solidFill>
              <a:prstDash val="solid"/>
            </a:ln>
          </c:spPr>
          <c:marker>
            <c:symbol val="x"/>
            <c:size val="6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xVal>
            <c:numRef>
              <c:f>'044-Б'!$J$37:$J$44</c:f>
              <c:numCache>
                <c:formatCode>0.00</c:formatCode>
                <c:ptCount val="8"/>
                <c:pt idx="0">
                  <c:v>2</c:v>
                </c:pt>
                <c:pt idx="1">
                  <c:v>3</c:v>
                </c:pt>
                <c:pt idx="2" formatCode="General">
                  <c:v>6</c:v>
                </c:pt>
                <c:pt idx="3" formatCode="General">
                  <c:v>8</c:v>
                </c:pt>
                <c:pt idx="4" formatCode="General">
                  <c:v>10</c:v>
                </c:pt>
                <c:pt idx="5" formatCode="General">
                  <c:v>15</c:v>
                </c:pt>
                <c:pt idx="6" formatCode="General">
                  <c:v>27</c:v>
                </c:pt>
                <c:pt idx="7" formatCode="General">
                  <c:v>47</c:v>
                </c:pt>
              </c:numCache>
            </c:numRef>
          </c:xVal>
          <c:yVal>
            <c:numRef>
              <c:f>'044-Б'!$K$37:$K$44</c:f>
              <c:numCache>
                <c:formatCode>General</c:formatCode>
                <c:ptCount val="8"/>
                <c:pt idx="0">
                  <c:v>1.0000000000000018E-5</c:v>
                </c:pt>
                <c:pt idx="1">
                  <c:v>0.8645833333333327</c:v>
                </c:pt>
                <c:pt idx="2">
                  <c:v>2.1260416666666662</c:v>
                </c:pt>
                <c:pt idx="3">
                  <c:v>2.0052083333333264</c:v>
                </c:pt>
                <c:pt idx="4">
                  <c:v>2.2499999999999982</c:v>
                </c:pt>
                <c:pt idx="5">
                  <c:v>2.0312499999999942</c:v>
                </c:pt>
                <c:pt idx="6">
                  <c:v>1.9843749999999993</c:v>
                </c:pt>
                <c:pt idx="7">
                  <c:v>1.8281249999999978</c:v>
                </c:pt>
              </c:numCache>
            </c:numRef>
          </c:yVal>
        </c:ser>
        <c:ser>
          <c:idx val="0"/>
          <c:order val="1"/>
          <c:tx>
            <c:v>НЦ-1-2</c:v>
          </c:tx>
          <c:spPr>
            <a:ln w="38100">
              <a:solidFill>
                <a:srgbClr val="00B05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92D050"/>
              </a:solidFill>
              <a:ln>
                <a:solidFill>
                  <a:srgbClr val="92D050"/>
                </a:solidFill>
                <a:prstDash val="solid"/>
              </a:ln>
            </c:spPr>
          </c:marker>
          <c:xVal>
            <c:numRef>
              <c:f>ГГЦ4!$J$37:$J$45</c:f>
              <c:numCache>
                <c:formatCode>0.00</c:formatCode>
                <c:ptCount val="9"/>
                <c:pt idx="0">
                  <c:v>2</c:v>
                </c:pt>
                <c:pt idx="1">
                  <c:v>5</c:v>
                </c:pt>
                <c:pt idx="2" formatCode="General">
                  <c:v>6</c:v>
                </c:pt>
                <c:pt idx="3" formatCode="General">
                  <c:v>10</c:v>
                </c:pt>
                <c:pt idx="4" formatCode="General">
                  <c:v>12</c:v>
                </c:pt>
                <c:pt idx="5" formatCode="General">
                  <c:v>16</c:v>
                </c:pt>
                <c:pt idx="6" formatCode="General">
                  <c:v>19</c:v>
                </c:pt>
                <c:pt idx="7" formatCode="General">
                  <c:v>21</c:v>
                </c:pt>
                <c:pt idx="8" formatCode="General">
                  <c:v>49</c:v>
                </c:pt>
              </c:numCache>
            </c:numRef>
          </c:xVal>
          <c:yVal>
            <c:numRef>
              <c:f>ГГЦ4!$K$37:$K$45</c:f>
              <c:numCache>
                <c:formatCode>General</c:formatCode>
                <c:ptCount val="9"/>
                <c:pt idx="0">
                  <c:v>1.0000000000000018E-5</c:v>
                </c:pt>
                <c:pt idx="1">
                  <c:v>2.9114583333333264</c:v>
                </c:pt>
                <c:pt idx="2">
                  <c:v>3.054166666666664</c:v>
                </c:pt>
                <c:pt idx="3">
                  <c:v>3.4104166666666678</c:v>
                </c:pt>
                <c:pt idx="4">
                  <c:v>3.3687499999999977</c:v>
                </c:pt>
                <c:pt idx="5">
                  <c:v>3.2052083333333266</c:v>
                </c:pt>
                <c:pt idx="6">
                  <c:v>3.4281249999999992</c:v>
                </c:pt>
                <c:pt idx="7">
                  <c:v>3.1947916666666698</c:v>
                </c:pt>
                <c:pt idx="8">
                  <c:v>3.0229166666666658</c:v>
                </c:pt>
              </c:numCache>
            </c:numRef>
          </c:yVal>
        </c:ser>
        <c:ser>
          <c:idx val="1"/>
          <c:order val="2"/>
          <c:tx>
            <c:v>НЦ-1-3</c:v>
          </c:tx>
          <c:spPr>
            <a:ln w="38100">
              <a:solidFill>
                <a:schemeClr val="accent3">
                  <a:lumMod val="75000"/>
                </a:schemeClr>
              </a:solidFill>
              <a:prstDash val="solid"/>
            </a:ln>
          </c:spPr>
          <c:marker>
            <c:symbol val="square"/>
            <c:size val="5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  <a:prstDash val="solid"/>
              </a:ln>
            </c:spPr>
          </c:marker>
          <c:xVal>
            <c:numRef>
              <c:f>ГГЦ12!$J$37:$J$45</c:f>
              <c:numCache>
                <c:formatCode>0.00</c:formatCode>
                <c:ptCount val="9"/>
                <c:pt idx="0">
                  <c:v>2</c:v>
                </c:pt>
                <c:pt idx="1">
                  <c:v>5</c:v>
                </c:pt>
                <c:pt idx="2" formatCode="General">
                  <c:v>6</c:v>
                </c:pt>
                <c:pt idx="3" formatCode="General">
                  <c:v>10</c:v>
                </c:pt>
                <c:pt idx="4" formatCode="General">
                  <c:v>12</c:v>
                </c:pt>
                <c:pt idx="5" formatCode="General">
                  <c:v>16</c:v>
                </c:pt>
                <c:pt idx="6" formatCode="General">
                  <c:v>19</c:v>
                </c:pt>
                <c:pt idx="7" formatCode="General">
                  <c:v>21</c:v>
                </c:pt>
                <c:pt idx="8" formatCode="General">
                  <c:v>49</c:v>
                </c:pt>
              </c:numCache>
            </c:numRef>
          </c:xVal>
          <c:yVal>
            <c:numRef>
              <c:f>ГГЦ12!$K$37:$K$45</c:f>
              <c:numCache>
                <c:formatCode>General</c:formatCode>
                <c:ptCount val="9"/>
                <c:pt idx="0">
                  <c:v>1.0000000000000018E-5</c:v>
                </c:pt>
                <c:pt idx="1">
                  <c:v>4.3572916666666668</c:v>
                </c:pt>
                <c:pt idx="2">
                  <c:v>6.6874999999999956</c:v>
                </c:pt>
                <c:pt idx="3">
                  <c:v>6.6843749999999957</c:v>
                </c:pt>
                <c:pt idx="4">
                  <c:v>6.7927083333333407</c:v>
                </c:pt>
                <c:pt idx="5">
                  <c:v>7.0572916666666643</c:v>
                </c:pt>
                <c:pt idx="6">
                  <c:v>6.6906249999999945</c:v>
                </c:pt>
                <c:pt idx="7">
                  <c:v>6.4114583333333393</c:v>
                </c:pt>
                <c:pt idx="8">
                  <c:v>6.098958333333333</c:v>
                </c:pt>
              </c:numCache>
            </c:numRef>
          </c:yVal>
        </c:ser>
        <c:ser>
          <c:idx val="2"/>
          <c:order val="3"/>
          <c:tx>
            <c:v>НЦ-1-4</c:v>
          </c:tx>
          <c:spPr>
            <a:ln w="38100">
              <a:solidFill>
                <a:srgbClr val="00FF00"/>
              </a:solidFill>
              <a:prstDash val="solid"/>
            </a:ln>
          </c:spPr>
          <c:marker>
            <c:symbol val="star"/>
            <c:size val="6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xVal>
            <c:numRef>
              <c:f>ГГЦ9!$J$37:$J$45</c:f>
              <c:numCache>
                <c:formatCode>0.00</c:formatCode>
                <c:ptCount val="9"/>
                <c:pt idx="0">
                  <c:v>2</c:v>
                </c:pt>
                <c:pt idx="1">
                  <c:v>5</c:v>
                </c:pt>
                <c:pt idx="2" formatCode="General">
                  <c:v>6</c:v>
                </c:pt>
                <c:pt idx="3" formatCode="General">
                  <c:v>10</c:v>
                </c:pt>
                <c:pt idx="4" formatCode="General">
                  <c:v>12</c:v>
                </c:pt>
                <c:pt idx="5" formatCode="General">
                  <c:v>16</c:v>
                </c:pt>
                <c:pt idx="6" formatCode="General">
                  <c:v>19</c:v>
                </c:pt>
                <c:pt idx="7" formatCode="General">
                  <c:v>21</c:v>
                </c:pt>
                <c:pt idx="8" formatCode="General">
                  <c:v>49</c:v>
                </c:pt>
              </c:numCache>
            </c:numRef>
          </c:xVal>
          <c:yVal>
            <c:numRef>
              <c:f>ГГЦ9!$K$37:$K$45</c:f>
              <c:numCache>
                <c:formatCode>General</c:formatCode>
                <c:ptCount val="9"/>
                <c:pt idx="0">
                  <c:v>1.0000000000000018E-5</c:v>
                </c:pt>
                <c:pt idx="1">
                  <c:v>5.5291666666666659</c:v>
                </c:pt>
                <c:pt idx="2">
                  <c:v>7.8489583333333321</c:v>
                </c:pt>
                <c:pt idx="3">
                  <c:v>23.180208333333308</c:v>
                </c:pt>
                <c:pt idx="4">
                  <c:v>23.467708333333292</c:v>
                </c:pt>
                <c:pt idx="5">
                  <c:v>23.32604166666669</c:v>
                </c:pt>
                <c:pt idx="6">
                  <c:v>23.378125000000001</c:v>
                </c:pt>
                <c:pt idx="7">
                  <c:v>23.070833333333301</c:v>
                </c:pt>
                <c:pt idx="8">
                  <c:v>22.90416666666669</c:v>
                </c:pt>
              </c:numCache>
            </c:numRef>
          </c:yVal>
        </c:ser>
        <c:ser>
          <c:idx val="6"/>
          <c:order val="4"/>
          <c:tx>
            <c:v>НЦ-2-1</c:v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'073-Б'!$J$37:$J$45</c:f>
              <c:numCache>
                <c:formatCode>0.00</c:formatCode>
                <c:ptCount val="9"/>
                <c:pt idx="0">
                  <c:v>1</c:v>
                </c:pt>
                <c:pt idx="1">
                  <c:v>2</c:v>
                </c:pt>
                <c:pt idx="2" formatCode="General">
                  <c:v>7</c:v>
                </c:pt>
                <c:pt idx="3" formatCode="General">
                  <c:v>11</c:v>
                </c:pt>
                <c:pt idx="4" formatCode="General">
                  <c:v>20</c:v>
                </c:pt>
                <c:pt idx="5" formatCode="General">
                  <c:v>27</c:v>
                </c:pt>
                <c:pt idx="6" formatCode="General">
                  <c:v>36</c:v>
                </c:pt>
                <c:pt idx="7" formatCode="General">
                  <c:v>45</c:v>
                </c:pt>
                <c:pt idx="8" formatCode="General">
                  <c:v>56</c:v>
                </c:pt>
              </c:numCache>
            </c:numRef>
          </c:xVal>
          <c:yVal>
            <c:numRef>
              <c:f>'073-Б'!$K$37:$K$45</c:f>
              <c:numCache>
                <c:formatCode>General</c:formatCode>
                <c:ptCount val="9"/>
                <c:pt idx="0">
                  <c:v>1.0000000000000018E-5</c:v>
                </c:pt>
                <c:pt idx="1">
                  <c:v>0.52083333333333193</c:v>
                </c:pt>
                <c:pt idx="2">
                  <c:v>1.5729166666666641</c:v>
                </c:pt>
                <c:pt idx="3">
                  <c:v>2.2187499999999987</c:v>
                </c:pt>
                <c:pt idx="4">
                  <c:v>3.6437500000000012</c:v>
                </c:pt>
                <c:pt idx="5">
                  <c:v>4.7031250000000009</c:v>
                </c:pt>
                <c:pt idx="6">
                  <c:v>5.9010416666666705</c:v>
                </c:pt>
                <c:pt idx="7">
                  <c:v>7.1718749999999956</c:v>
                </c:pt>
                <c:pt idx="8">
                  <c:v>7.3697916666666643</c:v>
                </c:pt>
              </c:numCache>
            </c:numRef>
          </c:yVal>
        </c:ser>
        <c:ser>
          <c:idx val="4"/>
          <c:order val="5"/>
          <c:tx>
            <c:v>НЦ-2-2</c:v>
          </c:tx>
          <c:spPr>
            <a:ln>
              <a:solidFill>
                <a:srgbClr val="000066"/>
              </a:solidFill>
            </a:ln>
          </c:spPr>
          <c:marker>
            <c:symbol val="circle"/>
            <c:size val="7"/>
            <c:spPr>
              <a:solidFill>
                <a:srgbClr val="000066"/>
              </a:solidFill>
              <a:ln>
                <a:solidFill>
                  <a:srgbClr val="000066"/>
                </a:solidFill>
              </a:ln>
            </c:spPr>
          </c:marker>
          <c:xVal>
            <c:numRef>
              <c:f>'074-Б'!$J$37:$J$45</c:f>
              <c:numCache>
                <c:formatCode>0.00</c:formatCode>
                <c:ptCount val="9"/>
                <c:pt idx="0">
                  <c:v>1</c:v>
                </c:pt>
                <c:pt idx="1">
                  <c:v>2</c:v>
                </c:pt>
                <c:pt idx="2" formatCode="General">
                  <c:v>7</c:v>
                </c:pt>
                <c:pt idx="3" formatCode="General">
                  <c:v>11</c:v>
                </c:pt>
                <c:pt idx="4" formatCode="General">
                  <c:v>20</c:v>
                </c:pt>
                <c:pt idx="5" formatCode="General">
                  <c:v>27</c:v>
                </c:pt>
                <c:pt idx="6" formatCode="General">
                  <c:v>36</c:v>
                </c:pt>
                <c:pt idx="7" formatCode="General">
                  <c:v>45</c:v>
                </c:pt>
                <c:pt idx="8" formatCode="General">
                  <c:v>56</c:v>
                </c:pt>
              </c:numCache>
            </c:numRef>
          </c:xVal>
          <c:yVal>
            <c:numRef>
              <c:f>'074-Б'!$K$37:$K$45</c:f>
              <c:numCache>
                <c:formatCode>General</c:formatCode>
                <c:ptCount val="9"/>
                <c:pt idx="0">
                  <c:v>1.0000000000000018E-5</c:v>
                </c:pt>
                <c:pt idx="1">
                  <c:v>0.58333333333333559</c:v>
                </c:pt>
                <c:pt idx="2">
                  <c:v>1.7552083333333333</c:v>
                </c:pt>
                <c:pt idx="3">
                  <c:v>2.9635416666666692</c:v>
                </c:pt>
                <c:pt idx="4">
                  <c:v>4.0520833333333384</c:v>
                </c:pt>
                <c:pt idx="5">
                  <c:v>5.2447916666666696</c:v>
                </c:pt>
                <c:pt idx="6">
                  <c:v>7.182291666666667</c:v>
                </c:pt>
                <c:pt idx="7">
                  <c:v>9.2864583333333357</c:v>
                </c:pt>
                <c:pt idx="8">
                  <c:v>9.1510416666666661</c:v>
                </c:pt>
              </c:numCache>
            </c:numRef>
          </c:yVal>
        </c:ser>
        <c:ser>
          <c:idx val="5"/>
          <c:order val="6"/>
          <c:tx>
            <c:v>НЦ-3-1</c:v>
          </c:tx>
          <c:spPr>
            <a:ln>
              <a:solidFill>
                <a:srgbClr val="FF0000"/>
              </a:solidFill>
            </a:ln>
          </c:spPr>
          <c:marker>
            <c:symbol val="triangle"/>
            <c:size val="7"/>
          </c:marker>
          <c:xVal>
            <c:numRef>
              <c:f>'077-Б'!$J$37:$J$45</c:f>
              <c:numCache>
                <c:formatCode>0.00</c:formatCode>
                <c:ptCount val="9"/>
                <c:pt idx="0">
                  <c:v>1</c:v>
                </c:pt>
                <c:pt idx="1">
                  <c:v>2</c:v>
                </c:pt>
                <c:pt idx="2" formatCode="General">
                  <c:v>7</c:v>
                </c:pt>
                <c:pt idx="3" formatCode="General">
                  <c:v>11</c:v>
                </c:pt>
                <c:pt idx="4" formatCode="General">
                  <c:v>20</c:v>
                </c:pt>
                <c:pt idx="5" formatCode="General">
                  <c:v>27</c:v>
                </c:pt>
                <c:pt idx="6" formatCode="General">
                  <c:v>36</c:v>
                </c:pt>
                <c:pt idx="7" formatCode="General">
                  <c:v>45</c:v>
                </c:pt>
                <c:pt idx="8" formatCode="General">
                  <c:v>56</c:v>
                </c:pt>
              </c:numCache>
            </c:numRef>
          </c:xVal>
          <c:yVal>
            <c:numRef>
              <c:f>'077-Б'!$K$37:$K$45</c:f>
              <c:numCache>
                <c:formatCode>General</c:formatCode>
                <c:ptCount val="9"/>
                <c:pt idx="0">
                  <c:v>1.0000000000000018E-5</c:v>
                </c:pt>
                <c:pt idx="1">
                  <c:v>0.92187500000000144</c:v>
                </c:pt>
                <c:pt idx="2">
                  <c:v>2.9843749999999982</c:v>
                </c:pt>
                <c:pt idx="3">
                  <c:v>4.3749999999999956</c:v>
                </c:pt>
                <c:pt idx="4">
                  <c:v>8.8281249999999964</c:v>
                </c:pt>
                <c:pt idx="5">
                  <c:v>12.94375</c:v>
                </c:pt>
                <c:pt idx="6">
                  <c:v>20.901041666666668</c:v>
                </c:pt>
                <c:pt idx="7">
                  <c:v>33.536458333333336</c:v>
                </c:pt>
                <c:pt idx="8">
                  <c:v>57.671875</c:v>
                </c:pt>
              </c:numCache>
            </c:numRef>
          </c:yVal>
        </c:ser>
        <c:axId val="75934720"/>
        <c:axId val="75949184"/>
      </c:scatterChart>
      <c:valAx>
        <c:axId val="75934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Время твердения, сут</a:t>
                </a:r>
              </a:p>
            </c:rich>
          </c:tx>
          <c:layout>
            <c:manualLayout>
              <c:xMode val="edge"/>
              <c:yMode val="edge"/>
              <c:x val="0.36984497381567499"/>
              <c:y val="0.92984389348025764"/>
            </c:manualLayout>
          </c:layout>
          <c:spPr>
            <a:noFill/>
            <a:ln w="25400">
              <a:noFill/>
            </a:ln>
          </c:spPr>
        </c:title>
        <c:numFmt formatCode="0" sourceLinked="0"/>
        <c:majorTickMark val="none"/>
        <c:tickLblPos val="nextTo"/>
        <c:spPr>
          <a:ln w="12700">
            <a:solidFill>
              <a:srgbClr val="878787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949184"/>
        <c:crossesAt val="-10"/>
        <c:crossBetween val="midCat"/>
      </c:valAx>
      <c:valAx>
        <c:axId val="75949184"/>
        <c:scaling>
          <c:orientation val="minMax"/>
        </c:scaling>
        <c:axPos val="l"/>
        <c:majorGridlines>
          <c:spPr>
            <a:ln w="12700">
              <a:solidFill>
                <a:srgbClr val="878787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Свободное расширение, мм/м</a:t>
                </a:r>
              </a:p>
            </c:rich>
          </c:tx>
          <c:layout>
            <c:manualLayout>
              <c:xMode val="edge"/>
              <c:yMode val="edge"/>
              <c:x val="1.1656039033155737E-2"/>
              <c:y val="0.1170916401407270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12700">
            <a:solidFill>
              <a:srgbClr val="878787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934720"/>
        <c:crossesAt val="0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2440137930460755"/>
          <c:y val="0.312890303605667"/>
          <c:w val="0.17274335424056159"/>
          <c:h val="0.32442035886911125"/>
        </c:manualLayout>
      </c:layout>
      <c:spPr>
        <a:noFill/>
        <a:ln w="25400">
          <a:noFill/>
        </a:ln>
      </c:spPr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2700">
      <a:solidFill>
        <a:srgbClr val="878787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A75E-A14A-4EFE-9EC3-983443B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Даня</cp:lastModifiedBy>
  <cp:revision>13</cp:revision>
  <dcterms:created xsi:type="dcterms:W3CDTF">2013-11-11T16:03:00Z</dcterms:created>
  <dcterms:modified xsi:type="dcterms:W3CDTF">2013-12-14T11:29:00Z</dcterms:modified>
</cp:coreProperties>
</file>