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22F" w:rsidRDefault="0003622F" w:rsidP="00561DF8">
      <w:pPr>
        <w:spacing w:after="0" w:line="240" w:lineRule="auto"/>
        <w:jc w:val="center"/>
        <w:rPr>
          <w:rFonts w:ascii="Times New Roman" w:hAnsi="Times New Roman"/>
          <w:b/>
          <w:sz w:val="24"/>
          <w:szCs w:val="24"/>
          <w:lang w:val="ru-RU"/>
        </w:rPr>
      </w:pPr>
      <w:r w:rsidRPr="00482656">
        <w:rPr>
          <w:rFonts w:ascii="Times New Roman" w:hAnsi="Times New Roman"/>
          <w:b/>
          <w:sz w:val="24"/>
          <w:szCs w:val="24"/>
          <w:lang w:val="ru-RU"/>
        </w:rPr>
        <w:t xml:space="preserve">Экономическая оценка эффективности поэтапного </w:t>
      </w:r>
      <w:r>
        <w:rPr>
          <w:rFonts w:ascii="Times New Roman" w:hAnsi="Times New Roman"/>
          <w:b/>
          <w:sz w:val="24"/>
          <w:szCs w:val="24"/>
          <w:lang w:val="ru-RU"/>
        </w:rPr>
        <w:t>развития</w:t>
      </w:r>
      <w:r w:rsidRPr="00482656">
        <w:rPr>
          <w:rFonts w:ascii="Times New Roman" w:hAnsi="Times New Roman"/>
          <w:b/>
          <w:sz w:val="24"/>
          <w:szCs w:val="24"/>
          <w:lang w:val="ru-RU"/>
        </w:rPr>
        <w:t xml:space="preserve"> тыловых</w:t>
      </w:r>
      <w:r>
        <w:rPr>
          <w:rFonts w:ascii="Times New Roman" w:hAnsi="Times New Roman"/>
          <w:b/>
          <w:sz w:val="24"/>
          <w:szCs w:val="24"/>
          <w:lang w:val="ru-RU"/>
        </w:rPr>
        <w:t xml:space="preserve"> контейнерных</w:t>
      </w:r>
      <w:r w:rsidRPr="00482656">
        <w:rPr>
          <w:rFonts w:ascii="Times New Roman" w:hAnsi="Times New Roman"/>
          <w:b/>
          <w:sz w:val="24"/>
          <w:szCs w:val="24"/>
          <w:lang w:val="ru-RU"/>
        </w:rPr>
        <w:t xml:space="preserve"> терминалов</w:t>
      </w:r>
    </w:p>
    <w:p w:rsidR="0003622F" w:rsidRPr="00482656" w:rsidRDefault="0003622F" w:rsidP="00561DF8">
      <w:pPr>
        <w:spacing w:after="0" w:line="240" w:lineRule="auto"/>
        <w:jc w:val="center"/>
        <w:rPr>
          <w:rFonts w:ascii="Times New Roman" w:hAnsi="Times New Roman"/>
          <w:b/>
          <w:sz w:val="24"/>
          <w:szCs w:val="24"/>
          <w:lang w:val="ru-RU"/>
        </w:rPr>
      </w:pPr>
    </w:p>
    <w:p w:rsidR="0003622F" w:rsidRDefault="0003622F" w:rsidP="00561DF8">
      <w:pPr>
        <w:spacing w:after="0" w:line="240" w:lineRule="auto"/>
        <w:jc w:val="center"/>
        <w:rPr>
          <w:rFonts w:ascii="Times New Roman" w:hAnsi="Times New Roman"/>
          <w:sz w:val="24"/>
          <w:szCs w:val="24"/>
          <w:lang w:val="ru-RU"/>
        </w:rPr>
      </w:pPr>
      <w:r w:rsidRPr="00482656">
        <w:rPr>
          <w:rFonts w:ascii="Times New Roman" w:hAnsi="Times New Roman"/>
          <w:sz w:val="24"/>
          <w:szCs w:val="24"/>
          <w:lang w:val="ru-RU"/>
        </w:rPr>
        <w:t>Ю.Н. Панова</w:t>
      </w:r>
    </w:p>
    <w:p w:rsidR="0003622F" w:rsidRPr="00482656" w:rsidRDefault="0003622F" w:rsidP="00561DF8">
      <w:pPr>
        <w:spacing w:after="0" w:line="240" w:lineRule="auto"/>
        <w:jc w:val="center"/>
        <w:rPr>
          <w:rFonts w:ascii="Times New Roman" w:hAnsi="Times New Roman"/>
          <w:sz w:val="24"/>
          <w:szCs w:val="24"/>
          <w:lang w:val="ru-RU"/>
        </w:rPr>
      </w:pPr>
      <w:r w:rsidRPr="00482656">
        <w:rPr>
          <w:rFonts w:ascii="Times New Roman" w:hAnsi="Times New Roman"/>
          <w:sz w:val="24"/>
          <w:szCs w:val="24"/>
          <w:lang w:val="ru-RU"/>
        </w:rPr>
        <w:t>Петербургский государственный университет путей сообщения, г. Санкт-Петербург</w:t>
      </w:r>
    </w:p>
    <w:p w:rsidR="0003622F" w:rsidRPr="00482656" w:rsidRDefault="0003622F" w:rsidP="00482656">
      <w:pPr>
        <w:spacing w:line="240" w:lineRule="auto"/>
        <w:rPr>
          <w:rFonts w:ascii="Times New Roman" w:hAnsi="Times New Roman"/>
          <w:sz w:val="24"/>
          <w:szCs w:val="24"/>
          <w:lang w:val="ru-RU"/>
        </w:rPr>
      </w:pPr>
    </w:p>
    <w:p w:rsidR="0003622F" w:rsidRPr="00EB66A0" w:rsidRDefault="0003622F" w:rsidP="00482656">
      <w:pPr>
        <w:spacing w:after="0" w:line="240" w:lineRule="auto"/>
        <w:rPr>
          <w:rFonts w:ascii="Times New Roman" w:hAnsi="Times New Roman"/>
          <w:sz w:val="24"/>
          <w:szCs w:val="24"/>
          <w:lang w:val="ru-RU"/>
        </w:rPr>
      </w:pPr>
      <w:r w:rsidRPr="00EB66A0">
        <w:rPr>
          <w:rFonts w:ascii="Times New Roman" w:hAnsi="Times New Roman"/>
          <w:sz w:val="24"/>
          <w:szCs w:val="24"/>
          <w:lang w:val="ru-RU"/>
        </w:rPr>
        <w:t>1. ВВЕДЕНИЕ</w:t>
      </w:r>
    </w:p>
    <w:p w:rsidR="0003622F" w:rsidRPr="00482656" w:rsidRDefault="0003622F" w:rsidP="00482656">
      <w:pPr>
        <w:spacing w:after="0" w:line="240" w:lineRule="auto"/>
        <w:ind w:firstLine="709"/>
        <w:jc w:val="both"/>
        <w:rPr>
          <w:rFonts w:ascii="Times New Roman" w:hAnsi="Times New Roman"/>
          <w:sz w:val="24"/>
          <w:szCs w:val="24"/>
          <w:lang w:val="ru-RU"/>
        </w:rPr>
      </w:pPr>
      <w:r w:rsidRPr="00482656">
        <w:rPr>
          <w:rFonts w:ascii="Times New Roman" w:hAnsi="Times New Roman"/>
          <w:sz w:val="24"/>
          <w:szCs w:val="24"/>
          <w:lang w:val="ru-RU"/>
        </w:rPr>
        <w:t>Вопросы формирования региональных систем логистического обслуживания, основанных на создании вокруг крупных городов и на территории субъектов РФ сети грузонакопительных и грузопереребатывающих терминалов обостряются в у</w:t>
      </w:r>
      <w:r>
        <w:rPr>
          <w:rFonts w:ascii="Times New Roman" w:hAnsi="Times New Roman"/>
          <w:sz w:val="24"/>
          <w:szCs w:val="24"/>
          <w:lang w:val="ru-RU"/>
        </w:rPr>
        <w:t>словиях рыночной экономики [1]. Вступление России</w:t>
      </w:r>
      <w:r w:rsidRPr="00482656">
        <w:rPr>
          <w:rFonts w:ascii="Times New Roman" w:hAnsi="Times New Roman"/>
          <w:sz w:val="24"/>
          <w:szCs w:val="24"/>
          <w:lang w:val="ru-RU"/>
        </w:rPr>
        <w:t xml:space="preserve"> в ВТО неизбежно ведет к росту международных перевозок грузов. Однако </w:t>
      </w:r>
      <w:r>
        <w:rPr>
          <w:rFonts w:ascii="Times New Roman" w:hAnsi="Times New Roman"/>
          <w:sz w:val="24"/>
          <w:szCs w:val="24"/>
          <w:lang w:val="ru-RU"/>
        </w:rPr>
        <w:t>дефици</w:t>
      </w:r>
      <w:r w:rsidRPr="00482656">
        <w:rPr>
          <w:rFonts w:ascii="Times New Roman" w:hAnsi="Times New Roman"/>
          <w:sz w:val="24"/>
          <w:szCs w:val="24"/>
          <w:lang w:val="ru-RU"/>
        </w:rPr>
        <w:t>т свободных складских площадей, характерны</w:t>
      </w:r>
      <w:r>
        <w:rPr>
          <w:rFonts w:ascii="Times New Roman" w:hAnsi="Times New Roman"/>
          <w:sz w:val="24"/>
          <w:szCs w:val="24"/>
          <w:lang w:val="ru-RU"/>
        </w:rPr>
        <w:t>й</w:t>
      </w:r>
      <w:r w:rsidRPr="00482656">
        <w:rPr>
          <w:rFonts w:ascii="Times New Roman" w:hAnsi="Times New Roman"/>
          <w:sz w:val="24"/>
          <w:szCs w:val="24"/>
          <w:lang w:val="ru-RU"/>
        </w:rPr>
        <w:t xml:space="preserve"> для крупнейших предприятий транспорта России, создают предпосылки к снижению </w:t>
      </w:r>
      <w:r>
        <w:rPr>
          <w:rFonts w:ascii="Times New Roman" w:hAnsi="Times New Roman"/>
          <w:sz w:val="24"/>
          <w:szCs w:val="24"/>
          <w:lang w:val="ru-RU"/>
        </w:rPr>
        <w:t xml:space="preserve">поступлений в бюджет страны, </w:t>
      </w:r>
      <w:r w:rsidRPr="00482656">
        <w:rPr>
          <w:rFonts w:ascii="Times New Roman" w:hAnsi="Times New Roman"/>
          <w:sz w:val="24"/>
          <w:szCs w:val="24"/>
          <w:lang w:val="ru-RU"/>
        </w:rPr>
        <w:t xml:space="preserve">прежде всего, </w:t>
      </w:r>
      <w:r>
        <w:rPr>
          <w:rFonts w:ascii="Times New Roman" w:hAnsi="Times New Roman"/>
          <w:sz w:val="24"/>
          <w:szCs w:val="24"/>
          <w:lang w:val="ru-RU"/>
        </w:rPr>
        <w:t xml:space="preserve">доходов </w:t>
      </w:r>
      <w:r w:rsidRPr="00482656">
        <w:rPr>
          <w:rFonts w:ascii="Times New Roman" w:hAnsi="Times New Roman"/>
          <w:sz w:val="24"/>
          <w:szCs w:val="24"/>
          <w:lang w:val="ru-RU"/>
        </w:rPr>
        <w:t xml:space="preserve">от переработки </w:t>
      </w:r>
      <w:r>
        <w:rPr>
          <w:rFonts w:ascii="Times New Roman" w:hAnsi="Times New Roman"/>
          <w:sz w:val="24"/>
          <w:szCs w:val="24"/>
          <w:lang w:val="ru-RU"/>
        </w:rPr>
        <w:t>экономически выгодных</w:t>
      </w:r>
      <w:r w:rsidRPr="00482656">
        <w:rPr>
          <w:rFonts w:ascii="Times New Roman" w:hAnsi="Times New Roman"/>
          <w:sz w:val="24"/>
          <w:szCs w:val="24"/>
          <w:lang w:val="ru-RU"/>
        </w:rPr>
        <w:t xml:space="preserve"> контейнерных грузов.</w:t>
      </w:r>
    </w:p>
    <w:p w:rsidR="0003622F" w:rsidRPr="00482656" w:rsidRDefault="0003622F" w:rsidP="00482656">
      <w:pPr>
        <w:spacing w:after="0" w:line="240" w:lineRule="auto"/>
        <w:ind w:firstLine="709"/>
        <w:jc w:val="both"/>
        <w:rPr>
          <w:rFonts w:ascii="Times New Roman" w:hAnsi="Times New Roman"/>
          <w:sz w:val="24"/>
          <w:szCs w:val="24"/>
          <w:lang w:val="ru-RU"/>
        </w:rPr>
      </w:pPr>
      <w:r w:rsidRPr="00482656">
        <w:rPr>
          <w:rFonts w:ascii="Times New Roman" w:hAnsi="Times New Roman"/>
          <w:sz w:val="24"/>
          <w:szCs w:val="24"/>
          <w:lang w:val="ru-RU"/>
        </w:rPr>
        <w:t>В показателе транспортной и коммуникационной инфраструктуры, учитываемом в индексе конкурентоспособности России (</w:t>
      </w:r>
      <w:r w:rsidRPr="00482656">
        <w:rPr>
          <w:rFonts w:ascii="Times New Roman" w:hAnsi="Times New Roman"/>
          <w:color w:val="000000"/>
          <w:sz w:val="24"/>
          <w:szCs w:val="24"/>
          <w:lang w:val="ru-RU" w:eastAsia="ru-RU"/>
        </w:rPr>
        <w:t>Global Competitiveness</w:t>
      </w:r>
      <w:r>
        <w:rPr>
          <w:rFonts w:ascii="Times New Roman" w:hAnsi="Times New Roman"/>
          <w:color w:val="000000"/>
          <w:sz w:val="24"/>
          <w:szCs w:val="24"/>
          <w:lang w:val="ru-RU" w:eastAsia="ru-RU"/>
        </w:rPr>
        <w:t xml:space="preserve"> Index, GCI)</w:t>
      </w:r>
      <w:r w:rsidRPr="00482656">
        <w:rPr>
          <w:rFonts w:ascii="Times New Roman" w:hAnsi="Times New Roman"/>
          <w:color w:val="000000"/>
          <w:sz w:val="24"/>
          <w:szCs w:val="24"/>
          <w:lang w:val="ru-RU" w:eastAsia="ru-RU"/>
        </w:rPr>
        <w:t xml:space="preserve"> </w:t>
      </w:r>
      <w:r w:rsidRPr="00482656">
        <w:rPr>
          <w:rFonts w:ascii="Times New Roman" w:hAnsi="Times New Roman"/>
          <w:sz w:val="24"/>
          <w:szCs w:val="24"/>
          <w:lang w:val="ru-RU"/>
        </w:rPr>
        <w:t>на мировом рынке, одним из «узких мест» является уровень ра</w:t>
      </w:r>
      <w:r>
        <w:rPr>
          <w:rFonts w:ascii="Times New Roman" w:hAnsi="Times New Roman"/>
          <w:sz w:val="24"/>
          <w:szCs w:val="24"/>
          <w:lang w:val="ru-RU"/>
        </w:rPr>
        <w:t xml:space="preserve">звития портовой инфраструктуры </w:t>
      </w:r>
      <w:r w:rsidRPr="00482656">
        <w:rPr>
          <w:rFonts w:ascii="Times New Roman" w:hAnsi="Times New Roman"/>
          <w:sz w:val="24"/>
          <w:szCs w:val="24"/>
          <w:lang w:val="ru-RU"/>
        </w:rPr>
        <w:t xml:space="preserve">[2]. Поведенный анализ российского рынка выявил </w:t>
      </w:r>
      <w:r>
        <w:rPr>
          <w:rFonts w:ascii="Times New Roman" w:hAnsi="Times New Roman"/>
          <w:sz w:val="24"/>
          <w:szCs w:val="24"/>
          <w:lang w:val="ru-RU"/>
        </w:rPr>
        <w:t xml:space="preserve">морские </w:t>
      </w:r>
      <w:r w:rsidRPr="00482656">
        <w:rPr>
          <w:rFonts w:ascii="Times New Roman" w:hAnsi="Times New Roman"/>
          <w:sz w:val="24"/>
          <w:szCs w:val="24"/>
          <w:lang w:val="ru-RU"/>
        </w:rPr>
        <w:t>порты</w:t>
      </w:r>
      <w:r>
        <w:rPr>
          <w:rFonts w:ascii="Times New Roman" w:hAnsi="Times New Roman"/>
          <w:sz w:val="24"/>
          <w:szCs w:val="24"/>
          <w:lang w:val="ru-RU"/>
        </w:rPr>
        <w:t>, лидирующие по переработке контейнерных грузов</w:t>
      </w:r>
      <w:r w:rsidRPr="00482656">
        <w:rPr>
          <w:rFonts w:ascii="Times New Roman" w:hAnsi="Times New Roman"/>
          <w:sz w:val="24"/>
          <w:szCs w:val="24"/>
          <w:lang w:val="ru-RU"/>
        </w:rPr>
        <w:t xml:space="preserve">. По данным Морцентр-ТЭК, в </w:t>
      </w:r>
      <w:smartTag w:uri="urn:schemas-microsoft-com:office:smarttags" w:element="metricconverter">
        <w:smartTagPr>
          <w:attr w:name="ProductID" w:val="2010 г"/>
        </w:smartTagPr>
        <w:r w:rsidRPr="00482656">
          <w:rPr>
            <w:rFonts w:ascii="Times New Roman" w:hAnsi="Times New Roman"/>
            <w:sz w:val="24"/>
            <w:szCs w:val="24"/>
            <w:lang w:val="ru-RU"/>
          </w:rPr>
          <w:t>2010</w:t>
        </w:r>
        <w:r>
          <w:rPr>
            <w:rFonts w:ascii="Times New Roman" w:hAnsi="Times New Roman"/>
            <w:sz w:val="24"/>
            <w:szCs w:val="24"/>
            <w:lang w:val="ru-RU"/>
          </w:rPr>
          <w:t xml:space="preserve"> </w:t>
        </w:r>
        <w:r w:rsidRPr="00482656">
          <w:rPr>
            <w:rFonts w:ascii="Times New Roman" w:hAnsi="Times New Roman"/>
            <w:sz w:val="24"/>
            <w:szCs w:val="24"/>
            <w:lang w:val="ru-RU"/>
          </w:rPr>
          <w:t>г</w:t>
        </w:r>
      </w:smartTag>
      <w:r w:rsidRPr="00482656">
        <w:rPr>
          <w:rFonts w:ascii="Times New Roman" w:hAnsi="Times New Roman"/>
          <w:sz w:val="24"/>
          <w:szCs w:val="24"/>
          <w:lang w:val="ru-RU"/>
        </w:rPr>
        <w:t xml:space="preserve">. российскими портами было перегружено 32,9 млн тонн грузов в контейнерах, из которых около 79% прошло через три </w:t>
      </w:r>
      <w:r>
        <w:rPr>
          <w:rFonts w:ascii="Times New Roman" w:hAnsi="Times New Roman"/>
          <w:sz w:val="24"/>
          <w:szCs w:val="24"/>
          <w:lang w:val="ru-RU"/>
        </w:rPr>
        <w:t>морских</w:t>
      </w:r>
      <w:r w:rsidRPr="00482656">
        <w:rPr>
          <w:rFonts w:ascii="Times New Roman" w:hAnsi="Times New Roman"/>
          <w:sz w:val="24"/>
          <w:szCs w:val="24"/>
          <w:lang w:val="ru-RU"/>
        </w:rPr>
        <w:t xml:space="preserve"> порта России – Большой порт Санкт-Петербург (около 58% или 19 млн тонн), Новороссийск (12%</w:t>
      </w:r>
      <w:r>
        <w:rPr>
          <w:rFonts w:ascii="Times New Roman" w:hAnsi="Times New Roman"/>
          <w:sz w:val="24"/>
          <w:szCs w:val="24"/>
          <w:lang w:val="ru-RU"/>
        </w:rPr>
        <w:t xml:space="preserve"> </w:t>
      </w:r>
      <w:r w:rsidRPr="00482656">
        <w:rPr>
          <w:rFonts w:ascii="Times New Roman" w:hAnsi="Times New Roman"/>
          <w:sz w:val="24"/>
          <w:szCs w:val="24"/>
          <w:lang w:val="ru-RU"/>
        </w:rPr>
        <w:t>или почти 4 млн тонн)</w:t>
      </w:r>
      <w:r>
        <w:rPr>
          <w:rFonts w:ascii="Times New Roman" w:hAnsi="Times New Roman"/>
          <w:sz w:val="24"/>
          <w:szCs w:val="24"/>
          <w:lang w:val="ru-RU"/>
        </w:rPr>
        <w:t xml:space="preserve"> </w:t>
      </w:r>
      <w:r w:rsidRPr="00482656">
        <w:rPr>
          <w:rFonts w:ascii="Times New Roman" w:hAnsi="Times New Roman"/>
          <w:sz w:val="24"/>
          <w:szCs w:val="24"/>
          <w:lang w:val="ru-RU"/>
        </w:rPr>
        <w:t>и Владивосток (9% или около 3 млн тонн) [3].</w:t>
      </w:r>
    </w:p>
    <w:p w:rsidR="0003622F" w:rsidRDefault="0003622F" w:rsidP="00482656">
      <w:pPr>
        <w:spacing w:after="0" w:line="240" w:lineRule="auto"/>
        <w:ind w:firstLine="709"/>
        <w:jc w:val="both"/>
        <w:rPr>
          <w:rFonts w:ascii="Times New Roman" w:hAnsi="Times New Roman"/>
          <w:sz w:val="24"/>
          <w:szCs w:val="24"/>
          <w:lang w:val="ru-RU"/>
        </w:rPr>
      </w:pPr>
      <w:r w:rsidRPr="00482656">
        <w:rPr>
          <w:rFonts w:ascii="Times New Roman" w:hAnsi="Times New Roman"/>
          <w:color w:val="000000"/>
          <w:sz w:val="24"/>
          <w:szCs w:val="24"/>
          <w:lang w:val="ru-RU" w:eastAsia="ru-RU"/>
        </w:rPr>
        <w:t xml:space="preserve">С целью сохранения ведущей роли </w:t>
      </w:r>
      <w:r>
        <w:rPr>
          <w:rFonts w:ascii="Times New Roman" w:hAnsi="Times New Roman"/>
          <w:color w:val="000000"/>
          <w:sz w:val="24"/>
          <w:szCs w:val="24"/>
          <w:lang w:val="ru-RU" w:eastAsia="ru-RU"/>
        </w:rPr>
        <w:t xml:space="preserve">морского порта Санкт-Петербург </w:t>
      </w:r>
      <w:r w:rsidRPr="00482656">
        <w:rPr>
          <w:rFonts w:ascii="Times New Roman" w:hAnsi="Times New Roman"/>
          <w:color w:val="000000"/>
          <w:sz w:val="24"/>
          <w:szCs w:val="24"/>
          <w:lang w:val="ru-RU" w:eastAsia="ru-RU"/>
        </w:rPr>
        <w:t xml:space="preserve">одна из приоритетных задач развития транспортно-логистического комплекса </w:t>
      </w:r>
      <w:r>
        <w:rPr>
          <w:rFonts w:ascii="Times New Roman" w:hAnsi="Times New Roman"/>
          <w:color w:val="000000"/>
          <w:sz w:val="24"/>
          <w:szCs w:val="24"/>
          <w:lang w:val="ru-RU" w:eastAsia="ru-RU"/>
        </w:rPr>
        <w:t>города</w:t>
      </w:r>
      <w:r w:rsidRPr="00482656">
        <w:rPr>
          <w:rFonts w:ascii="Times New Roman" w:hAnsi="Times New Roman"/>
          <w:color w:val="000000"/>
          <w:sz w:val="24"/>
          <w:szCs w:val="24"/>
          <w:lang w:val="ru-RU" w:eastAsia="ru-RU"/>
        </w:rPr>
        <w:t xml:space="preserve"> ориентирована на увеличение пропускной способности </w:t>
      </w:r>
      <w:r>
        <w:rPr>
          <w:rFonts w:ascii="Times New Roman" w:hAnsi="Times New Roman"/>
          <w:color w:val="000000"/>
          <w:sz w:val="24"/>
          <w:szCs w:val="24"/>
          <w:lang w:val="ru-RU" w:eastAsia="ru-RU"/>
        </w:rPr>
        <w:t xml:space="preserve">порта </w:t>
      </w:r>
      <w:r w:rsidRPr="00482656">
        <w:rPr>
          <w:rFonts w:ascii="Times New Roman" w:hAnsi="Times New Roman"/>
          <w:color w:val="000000"/>
          <w:sz w:val="24"/>
          <w:szCs w:val="24"/>
          <w:lang w:val="ru-RU" w:eastAsia="ru-RU"/>
        </w:rPr>
        <w:t xml:space="preserve">с 2 млн контейнеров в год до 7,07 млн контейнеров </w:t>
      </w:r>
      <w:r>
        <w:rPr>
          <w:rFonts w:ascii="Times New Roman" w:hAnsi="Times New Roman"/>
          <w:color w:val="000000"/>
          <w:sz w:val="24"/>
          <w:szCs w:val="24"/>
          <w:lang w:val="ru-RU" w:eastAsia="ru-RU"/>
        </w:rPr>
        <w:t xml:space="preserve">к </w:t>
      </w:r>
      <w:smartTag w:uri="urn:schemas-microsoft-com:office:smarttags" w:element="metricconverter">
        <w:smartTagPr>
          <w:attr w:name="ProductID" w:val="2030 г"/>
        </w:smartTagPr>
        <w:r w:rsidRPr="00482656">
          <w:rPr>
            <w:rFonts w:ascii="Times New Roman" w:hAnsi="Times New Roman"/>
            <w:color w:val="000000"/>
            <w:sz w:val="24"/>
            <w:szCs w:val="24"/>
            <w:lang w:val="ru-RU" w:eastAsia="ru-RU"/>
          </w:rPr>
          <w:t>2030 г</w:t>
        </w:r>
      </w:smartTag>
      <w:r w:rsidRPr="00482656">
        <w:rPr>
          <w:rFonts w:ascii="Times New Roman" w:hAnsi="Times New Roman"/>
          <w:color w:val="000000"/>
          <w:sz w:val="24"/>
          <w:szCs w:val="24"/>
          <w:lang w:val="ru-RU" w:eastAsia="ru-RU"/>
        </w:rPr>
        <w:t xml:space="preserve">. </w:t>
      </w:r>
      <w:r w:rsidRPr="00482656">
        <w:rPr>
          <w:rFonts w:ascii="Times New Roman" w:hAnsi="Times New Roman"/>
          <w:sz w:val="24"/>
          <w:szCs w:val="24"/>
          <w:lang w:val="ru-RU"/>
        </w:rPr>
        <w:t>[4]</w:t>
      </w:r>
      <w:r w:rsidRPr="00482656">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Но</w:t>
      </w:r>
      <w:r w:rsidRPr="00482656">
        <w:rPr>
          <w:rFonts w:ascii="Times New Roman" w:hAnsi="Times New Roman"/>
          <w:color w:val="000000"/>
          <w:sz w:val="24"/>
          <w:szCs w:val="24"/>
          <w:lang w:val="ru-RU" w:eastAsia="ru-RU"/>
        </w:rPr>
        <w:t xml:space="preserve"> в условиях отсутствия свободных прибрежных зон для развития порта, который находится</w:t>
      </w:r>
      <w:r>
        <w:rPr>
          <w:rFonts w:ascii="Times New Roman" w:hAnsi="Times New Roman"/>
          <w:color w:val="000000"/>
          <w:sz w:val="24"/>
          <w:szCs w:val="24"/>
          <w:lang w:val="ru-RU" w:eastAsia="ru-RU"/>
        </w:rPr>
        <w:t xml:space="preserve"> </w:t>
      </w:r>
      <w:r w:rsidRPr="00482656">
        <w:rPr>
          <w:rFonts w:ascii="Times New Roman" w:hAnsi="Times New Roman"/>
          <w:color w:val="000000"/>
          <w:sz w:val="24"/>
          <w:szCs w:val="24"/>
          <w:lang w:val="ru-RU" w:eastAsia="ru-RU"/>
        </w:rPr>
        <w:t xml:space="preserve">в пределах жилой застройки, данный прогноз </w:t>
      </w:r>
      <w:r>
        <w:rPr>
          <w:rFonts w:ascii="Times New Roman" w:hAnsi="Times New Roman"/>
          <w:color w:val="000000"/>
          <w:sz w:val="24"/>
          <w:szCs w:val="24"/>
          <w:lang w:val="ru-RU" w:eastAsia="ru-RU"/>
        </w:rPr>
        <w:t>является довольно оптимистичным</w:t>
      </w:r>
      <w:r w:rsidRPr="00482656">
        <w:rPr>
          <w:rFonts w:ascii="Times New Roman" w:hAnsi="Times New Roman"/>
          <w:color w:val="000000"/>
          <w:sz w:val="24"/>
          <w:szCs w:val="24"/>
          <w:lang w:val="ru-RU" w:eastAsia="ru-RU"/>
        </w:rPr>
        <w:t xml:space="preserve">. </w:t>
      </w:r>
      <w:r w:rsidRPr="00482656">
        <w:rPr>
          <w:rFonts w:ascii="Times New Roman" w:hAnsi="Times New Roman"/>
          <w:sz w:val="24"/>
          <w:szCs w:val="24"/>
          <w:lang w:val="ru-RU"/>
        </w:rPr>
        <w:t xml:space="preserve">На основе обобщения зарубежного опыта установлено, что успешное решение задачи усиления конкурентных позиций российских </w:t>
      </w:r>
      <w:r>
        <w:rPr>
          <w:rFonts w:ascii="Times New Roman" w:hAnsi="Times New Roman"/>
          <w:sz w:val="24"/>
          <w:szCs w:val="24"/>
          <w:lang w:val="ru-RU"/>
        </w:rPr>
        <w:t xml:space="preserve">морских </w:t>
      </w:r>
      <w:r w:rsidRPr="00482656">
        <w:rPr>
          <w:rFonts w:ascii="Times New Roman" w:hAnsi="Times New Roman"/>
          <w:sz w:val="24"/>
          <w:szCs w:val="24"/>
          <w:lang w:val="ru-RU"/>
        </w:rPr>
        <w:t xml:space="preserve">портов может быть достигнуто посредством развития тыловых терминалов (англ. </w:t>
      </w:r>
      <w:r w:rsidRPr="00482656">
        <w:rPr>
          <w:rFonts w:ascii="Times New Roman" w:hAnsi="Times New Roman"/>
          <w:sz w:val="24"/>
          <w:szCs w:val="24"/>
        </w:rPr>
        <w:t>dry</w:t>
      </w:r>
      <w:r w:rsidRPr="00482656">
        <w:rPr>
          <w:rFonts w:ascii="Times New Roman" w:hAnsi="Times New Roman"/>
          <w:sz w:val="24"/>
          <w:szCs w:val="24"/>
          <w:lang w:val="ru-RU"/>
        </w:rPr>
        <w:t xml:space="preserve"> </w:t>
      </w:r>
      <w:r w:rsidRPr="00482656">
        <w:rPr>
          <w:rFonts w:ascii="Times New Roman" w:hAnsi="Times New Roman"/>
          <w:sz w:val="24"/>
          <w:szCs w:val="24"/>
        </w:rPr>
        <w:t>ports</w:t>
      </w:r>
      <w:r w:rsidRPr="00482656">
        <w:rPr>
          <w:rFonts w:ascii="Times New Roman" w:hAnsi="Times New Roman"/>
          <w:sz w:val="24"/>
          <w:szCs w:val="24"/>
          <w:lang w:val="ru-RU"/>
        </w:rPr>
        <w:t>).</w:t>
      </w:r>
    </w:p>
    <w:p w:rsidR="0003622F" w:rsidRPr="00482656" w:rsidRDefault="0003622F" w:rsidP="00482656">
      <w:pPr>
        <w:spacing w:after="0" w:line="240" w:lineRule="auto"/>
        <w:ind w:firstLine="709"/>
        <w:jc w:val="both"/>
        <w:rPr>
          <w:rFonts w:ascii="Times New Roman" w:hAnsi="Times New Roman"/>
          <w:sz w:val="24"/>
          <w:szCs w:val="24"/>
          <w:lang w:val="ru-RU"/>
        </w:rPr>
      </w:pPr>
    </w:p>
    <w:p w:rsidR="0003622F" w:rsidRPr="00EB66A0" w:rsidRDefault="0003622F" w:rsidP="00482656">
      <w:pPr>
        <w:spacing w:after="0" w:line="240" w:lineRule="auto"/>
        <w:jc w:val="both"/>
        <w:rPr>
          <w:rFonts w:ascii="Times New Roman" w:hAnsi="Times New Roman"/>
          <w:sz w:val="24"/>
          <w:szCs w:val="24"/>
          <w:lang w:val="ru-RU"/>
        </w:rPr>
      </w:pPr>
      <w:r w:rsidRPr="00EB66A0">
        <w:rPr>
          <w:rFonts w:ascii="Times New Roman" w:hAnsi="Times New Roman"/>
          <w:sz w:val="24"/>
          <w:szCs w:val="24"/>
          <w:lang w:val="ru-RU"/>
        </w:rPr>
        <w:t xml:space="preserve">2. ПОЭТАПНОЕ РАЗВИТИЕ ТЫЛОВЫХ ТЕРМИНАЛОВ </w:t>
      </w:r>
    </w:p>
    <w:p w:rsidR="0003622F" w:rsidRDefault="0003622F" w:rsidP="00482656">
      <w:pPr>
        <w:spacing w:after="0" w:line="240" w:lineRule="auto"/>
        <w:ind w:firstLine="709"/>
        <w:jc w:val="both"/>
        <w:rPr>
          <w:rFonts w:ascii="Times New Roman" w:hAnsi="Times New Roman"/>
          <w:color w:val="000000"/>
          <w:sz w:val="24"/>
          <w:szCs w:val="24"/>
          <w:lang w:val="ru-RU" w:eastAsia="ru-RU"/>
        </w:rPr>
      </w:pPr>
      <w:r w:rsidRPr="00482656">
        <w:rPr>
          <w:rFonts w:ascii="Times New Roman" w:hAnsi="Times New Roman"/>
          <w:color w:val="000000"/>
          <w:sz w:val="24"/>
          <w:szCs w:val="24"/>
          <w:lang w:val="ru-RU" w:eastAsia="ru-RU"/>
        </w:rPr>
        <w:t>Тыловой терминал характеризуется наличием железнодорожного подхода, комплекса сооружений и устройств, в том числе, таможенных структур, позволяющих предоставлять клиенту услуги в том же объеме, что и в морском порту.</w:t>
      </w:r>
    </w:p>
    <w:p w:rsidR="0003622F" w:rsidRDefault="0003622F" w:rsidP="00AD09B9">
      <w:pPr>
        <w:spacing w:after="0" w:line="240" w:lineRule="auto"/>
        <w:ind w:firstLine="709"/>
        <w:jc w:val="both"/>
        <w:rPr>
          <w:rFonts w:ascii="Times New Roman" w:hAnsi="Times New Roman"/>
          <w:sz w:val="24"/>
          <w:szCs w:val="24"/>
          <w:lang w:val="ru-RU"/>
        </w:rPr>
      </w:pPr>
      <w:r w:rsidRPr="00947B32">
        <w:rPr>
          <w:rFonts w:ascii="Times New Roman" w:hAnsi="Times New Roman"/>
          <w:sz w:val="24"/>
          <w:szCs w:val="24"/>
          <w:lang w:val="ru-RU"/>
        </w:rPr>
        <w:t>Фундаментальные вопросы развития грузовых терминалов и их технических характеристик рассмотрены такими учеными, как А.А. Абрамов, А.С. Балалаев, И.В. Зуб, Ю. В. Воронцов А.Т. Дерибас, В.В. Дыбская, А.М. Ивахненко, Ю.Т. Козлов, Л.А. Коган, Л.А. Красикова, А.Л. Кузнецов, В.Н. Кустов, Т.Т. Ле, В.С. Лукинский, О.Б. Маликов, А.А. Нерман, Г.И. Никифорова, Ф.А. Пладис, В.В. Поворженко, А.М. Поспелов, Т.Г. Сергеева, М.Д. Ситник, А.А. Смехов, А.Л. Степанов, М.Н. Тертеров, В.А. Шурин и другими учеными и специалистами Аспекты развития тыловых терминалов в Европе, Азии, Северной Америке, Южной Африке, Австралии нашли отражение в трудах иностранных ученых: Б.С.М.Руттена, К.Мачэриса, А.Вербики, Т. Ноттебума, Б.Слэка, В.Росо, Д.-П. Родриге, П. Гарнва, А. Бересфорда, С.Петтита, А.Роса, Р.Роскелли, К. Кабаллини, Э. Гатторна, А. Нж, Г. Гуджара, Е.</w:t>
      </w:r>
      <w:r>
        <w:rPr>
          <w:rFonts w:ascii="Times New Roman" w:hAnsi="Times New Roman"/>
          <w:sz w:val="24"/>
          <w:szCs w:val="24"/>
          <w:lang w:val="ru-RU"/>
        </w:rPr>
        <w:t>Кронъе, М. Матсии, В. Кругелла.</w:t>
      </w:r>
    </w:p>
    <w:p w:rsidR="0003622F" w:rsidRPr="00482656" w:rsidRDefault="0003622F" w:rsidP="00482656">
      <w:pPr>
        <w:spacing w:after="0" w:line="240" w:lineRule="auto"/>
        <w:ind w:firstLine="709"/>
        <w:jc w:val="both"/>
        <w:rPr>
          <w:rFonts w:ascii="Times New Roman" w:hAnsi="Times New Roman"/>
          <w:sz w:val="24"/>
          <w:szCs w:val="24"/>
          <w:lang w:val="ru-RU"/>
        </w:rPr>
      </w:pPr>
      <w:r>
        <w:rPr>
          <w:rFonts w:ascii="Times New Roman" w:hAnsi="Times New Roman"/>
          <w:color w:val="000000"/>
          <w:sz w:val="24"/>
          <w:szCs w:val="24"/>
          <w:lang w:val="ru-RU" w:eastAsia="ru-RU"/>
        </w:rPr>
        <w:t xml:space="preserve">Развитие тыловой терминально-складской инфраструктуры </w:t>
      </w:r>
      <w:r w:rsidRPr="00482656">
        <w:rPr>
          <w:rFonts w:ascii="Times New Roman" w:hAnsi="Times New Roman"/>
          <w:color w:val="000000"/>
          <w:sz w:val="24"/>
          <w:szCs w:val="24"/>
          <w:lang w:val="ru-RU" w:eastAsia="ru-RU"/>
        </w:rPr>
        <w:t xml:space="preserve">способствует </w:t>
      </w:r>
      <w:r>
        <w:rPr>
          <w:rFonts w:ascii="Times New Roman" w:hAnsi="Times New Roman"/>
          <w:color w:val="000000"/>
          <w:sz w:val="24"/>
          <w:szCs w:val="24"/>
          <w:lang w:val="ru-RU" w:eastAsia="ru-RU"/>
        </w:rPr>
        <w:t>наибольшему</w:t>
      </w:r>
      <w:r w:rsidRPr="00482656">
        <w:rPr>
          <w:rFonts w:ascii="Times New Roman" w:hAnsi="Times New Roman"/>
          <w:color w:val="000000"/>
          <w:sz w:val="24"/>
          <w:szCs w:val="24"/>
          <w:lang w:val="ru-RU" w:eastAsia="ru-RU"/>
        </w:rPr>
        <w:t xml:space="preserve"> увеличению пропускной способности морских портов, так как при</w:t>
      </w:r>
      <w:r>
        <w:rPr>
          <w:rFonts w:ascii="Times New Roman" w:hAnsi="Times New Roman"/>
          <w:color w:val="000000"/>
          <w:sz w:val="24"/>
          <w:szCs w:val="24"/>
          <w:lang w:val="ru-RU" w:eastAsia="ru-RU"/>
        </w:rPr>
        <w:t xml:space="preserve"> ее</w:t>
      </w:r>
      <w:r w:rsidRPr="00482656">
        <w:rPr>
          <w:rFonts w:ascii="Times New Roman" w:hAnsi="Times New Roman"/>
          <w:color w:val="000000"/>
          <w:sz w:val="24"/>
          <w:szCs w:val="24"/>
          <w:lang w:val="ru-RU" w:eastAsia="ru-RU"/>
        </w:rPr>
        <w:t xml:space="preserve"> наличии появляется возможность </w:t>
      </w:r>
      <w:r>
        <w:rPr>
          <w:rFonts w:ascii="Times New Roman" w:hAnsi="Times New Roman"/>
          <w:color w:val="000000"/>
          <w:sz w:val="24"/>
          <w:szCs w:val="24"/>
          <w:lang w:val="ru-RU" w:eastAsia="ru-RU"/>
        </w:rPr>
        <w:t>быстрого</w:t>
      </w:r>
      <w:r w:rsidRPr="00482656">
        <w:rPr>
          <w:rFonts w:ascii="Times New Roman" w:hAnsi="Times New Roman"/>
          <w:color w:val="000000"/>
          <w:sz w:val="24"/>
          <w:szCs w:val="24"/>
          <w:lang w:val="ru-RU" w:eastAsia="ru-RU"/>
        </w:rPr>
        <w:t xml:space="preserve"> вывоза нерастаможенных </w:t>
      </w:r>
      <w:r>
        <w:rPr>
          <w:rFonts w:ascii="Times New Roman" w:hAnsi="Times New Roman"/>
          <w:color w:val="000000"/>
          <w:sz w:val="24"/>
          <w:szCs w:val="24"/>
          <w:lang w:val="ru-RU" w:eastAsia="ru-RU"/>
        </w:rPr>
        <w:t>грузов</w:t>
      </w:r>
      <w:r w:rsidRPr="00482656">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из порта в тыловые терминалы для выполнения дополнительных логистических операций на территории последних</w:t>
      </w:r>
      <w:r w:rsidRPr="00482656">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Так, с</w:t>
      </w:r>
      <w:r w:rsidRPr="00482656">
        <w:rPr>
          <w:rFonts w:ascii="Times New Roman" w:hAnsi="Times New Roman"/>
          <w:color w:val="000000"/>
          <w:sz w:val="24"/>
          <w:szCs w:val="24"/>
          <w:lang w:val="ru-RU" w:eastAsia="ru-RU"/>
        </w:rPr>
        <w:t>равнение вариантов повышения пропускной способности морского порта</w:t>
      </w:r>
      <w:r>
        <w:rPr>
          <w:rFonts w:ascii="Times New Roman" w:hAnsi="Times New Roman"/>
          <w:color w:val="000000"/>
          <w:sz w:val="24"/>
          <w:szCs w:val="24"/>
          <w:lang w:val="ru-RU" w:eastAsia="ru-RU"/>
        </w:rPr>
        <w:t>,</w:t>
      </w:r>
      <w:r w:rsidRPr="00482656">
        <w:rPr>
          <w:rFonts w:ascii="Times New Roman" w:hAnsi="Times New Roman"/>
          <w:color w:val="000000"/>
          <w:sz w:val="24"/>
          <w:szCs w:val="24"/>
          <w:lang w:val="ru-RU" w:eastAsia="ru-RU"/>
        </w:rPr>
        <w:t xml:space="preserve"> показало, что непосредственное развитие порта (расширение складской зоны морского терминала за счет сноса нефункционирующих производственных объектов или увеличение высоты штабеля контейнеров) позволяют повысить его пропускную способность в 1,5 и 1,4 раза соответственно, в то время как строительство тылового терминала – в 2,5 раза [5].</w:t>
      </w:r>
      <w:r>
        <w:rPr>
          <w:rFonts w:ascii="Times New Roman" w:hAnsi="Times New Roman"/>
          <w:color w:val="000000"/>
          <w:sz w:val="24"/>
          <w:szCs w:val="24"/>
          <w:lang w:val="ru-RU" w:eastAsia="ru-RU"/>
        </w:rPr>
        <w:t xml:space="preserve"> </w:t>
      </w:r>
      <w:r w:rsidRPr="00482656">
        <w:rPr>
          <w:rFonts w:ascii="Times New Roman" w:hAnsi="Times New Roman"/>
          <w:color w:val="000000"/>
          <w:sz w:val="24"/>
          <w:szCs w:val="24"/>
          <w:lang w:val="ru-RU" w:eastAsia="ru-RU"/>
        </w:rPr>
        <w:t xml:space="preserve">В условиях устойчивого роста контейнерных потоков и </w:t>
      </w:r>
      <w:r>
        <w:rPr>
          <w:rFonts w:ascii="Times New Roman" w:hAnsi="Times New Roman"/>
          <w:color w:val="000000"/>
          <w:sz w:val="24"/>
          <w:szCs w:val="24"/>
          <w:lang w:val="ru-RU" w:eastAsia="ru-RU"/>
        </w:rPr>
        <w:t>ограниченности территории морского порта</w:t>
      </w:r>
      <w:r w:rsidRPr="00482656">
        <w:rPr>
          <w:rFonts w:ascii="Times New Roman" w:hAnsi="Times New Roman"/>
          <w:color w:val="000000"/>
          <w:sz w:val="24"/>
          <w:szCs w:val="24"/>
          <w:lang w:val="ru-RU" w:eastAsia="ru-RU"/>
        </w:rPr>
        <w:t xml:space="preserve">, вариант создания тылового терминала может быть единственно </w:t>
      </w:r>
      <w:r>
        <w:rPr>
          <w:rFonts w:ascii="Times New Roman" w:hAnsi="Times New Roman"/>
          <w:color w:val="000000"/>
          <w:sz w:val="24"/>
          <w:szCs w:val="24"/>
          <w:lang w:val="ru-RU" w:eastAsia="ru-RU"/>
        </w:rPr>
        <w:t>приемлемым</w:t>
      </w:r>
      <w:r w:rsidRPr="00482656">
        <w:rPr>
          <w:rFonts w:ascii="Times New Roman" w:hAnsi="Times New Roman"/>
          <w:color w:val="000000"/>
          <w:sz w:val="24"/>
          <w:szCs w:val="24"/>
          <w:lang w:val="ru-RU" w:eastAsia="ru-RU"/>
        </w:rPr>
        <w:t xml:space="preserve">, хотя априорно </w:t>
      </w:r>
      <w:r>
        <w:rPr>
          <w:rFonts w:ascii="Times New Roman" w:hAnsi="Times New Roman"/>
          <w:color w:val="000000"/>
          <w:sz w:val="24"/>
          <w:szCs w:val="24"/>
          <w:lang w:val="ru-RU" w:eastAsia="ru-RU"/>
        </w:rPr>
        <w:t xml:space="preserve">одним из </w:t>
      </w:r>
      <w:r w:rsidRPr="00482656">
        <w:rPr>
          <w:rFonts w:ascii="Times New Roman" w:hAnsi="Times New Roman"/>
          <w:color w:val="000000"/>
          <w:sz w:val="24"/>
          <w:szCs w:val="24"/>
          <w:lang w:val="ru-RU" w:eastAsia="ru-RU"/>
        </w:rPr>
        <w:t>наиболее затратны</w:t>
      </w:r>
      <w:r>
        <w:rPr>
          <w:rFonts w:ascii="Times New Roman" w:hAnsi="Times New Roman"/>
          <w:color w:val="000000"/>
          <w:sz w:val="24"/>
          <w:szCs w:val="24"/>
          <w:lang w:val="ru-RU" w:eastAsia="ru-RU"/>
        </w:rPr>
        <w:t>х</w:t>
      </w:r>
      <w:r w:rsidRPr="00482656">
        <w:rPr>
          <w:rFonts w:ascii="Times New Roman" w:hAnsi="Times New Roman"/>
          <w:color w:val="000000"/>
          <w:sz w:val="24"/>
          <w:szCs w:val="24"/>
          <w:lang w:val="ru-RU" w:eastAsia="ru-RU"/>
        </w:rPr>
        <w:t>.</w:t>
      </w:r>
      <w:r w:rsidRPr="00482656">
        <w:rPr>
          <w:rFonts w:ascii="Times New Roman" w:hAnsi="Times New Roman"/>
          <w:sz w:val="24"/>
          <w:szCs w:val="24"/>
          <w:lang w:val="ru-RU"/>
        </w:rPr>
        <w:t xml:space="preserve"> </w:t>
      </w:r>
    </w:p>
    <w:p w:rsidR="0003622F" w:rsidRPr="00482656" w:rsidRDefault="0003622F" w:rsidP="00482656">
      <w:pPr>
        <w:spacing w:after="0" w:line="240" w:lineRule="auto"/>
        <w:ind w:firstLine="709"/>
        <w:jc w:val="both"/>
        <w:rPr>
          <w:rFonts w:ascii="Times New Roman" w:hAnsi="Times New Roman"/>
          <w:color w:val="000000"/>
          <w:sz w:val="24"/>
          <w:szCs w:val="24"/>
          <w:lang w:val="ru-RU" w:eastAsia="ru-RU"/>
        </w:rPr>
      </w:pPr>
      <w:r w:rsidRPr="00482656">
        <w:rPr>
          <w:rFonts w:ascii="Times New Roman" w:hAnsi="Times New Roman"/>
          <w:color w:val="000000"/>
          <w:sz w:val="24"/>
          <w:szCs w:val="24"/>
          <w:lang w:val="ru-RU" w:eastAsia="ru-RU"/>
        </w:rPr>
        <w:t xml:space="preserve">При </w:t>
      </w:r>
      <w:r>
        <w:rPr>
          <w:rFonts w:ascii="Times New Roman" w:hAnsi="Times New Roman"/>
          <w:color w:val="000000"/>
          <w:sz w:val="24"/>
          <w:szCs w:val="24"/>
          <w:lang w:val="ru-RU" w:eastAsia="ru-RU"/>
        </w:rPr>
        <w:t>недостатке капитальных вложений</w:t>
      </w:r>
      <w:r w:rsidRPr="00482656">
        <w:rPr>
          <w:rFonts w:ascii="Times New Roman" w:hAnsi="Times New Roman"/>
          <w:color w:val="000000"/>
          <w:sz w:val="24"/>
          <w:szCs w:val="24"/>
          <w:lang w:val="ru-RU" w:eastAsia="ru-RU"/>
        </w:rPr>
        <w:t xml:space="preserve"> стратегия поэтапного </w:t>
      </w:r>
      <w:r>
        <w:rPr>
          <w:rFonts w:ascii="Times New Roman" w:hAnsi="Times New Roman"/>
          <w:color w:val="000000"/>
          <w:sz w:val="24"/>
          <w:szCs w:val="24"/>
          <w:lang w:val="ru-RU" w:eastAsia="ru-RU"/>
        </w:rPr>
        <w:t>развития</w:t>
      </w:r>
      <w:r w:rsidRPr="00482656">
        <w:rPr>
          <w:rFonts w:ascii="Times New Roman" w:hAnsi="Times New Roman"/>
          <w:color w:val="000000"/>
          <w:sz w:val="24"/>
          <w:szCs w:val="24"/>
          <w:lang w:val="ru-RU" w:eastAsia="ru-RU"/>
        </w:rPr>
        <w:t xml:space="preserve"> тыловых терминалов позволит разрешить противоречие между стремлением к достижению максимального экономического эффекта и желанием при этом обеспечить устойчивую работу транспортного комплекса России [6].</w:t>
      </w:r>
    </w:p>
    <w:p w:rsidR="0003622F" w:rsidRPr="00B403E3" w:rsidRDefault="0003622F" w:rsidP="001C3643">
      <w:pPr>
        <w:spacing w:after="0" w:line="240" w:lineRule="auto"/>
        <w:ind w:firstLine="709"/>
        <w:jc w:val="both"/>
        <w:rPr>
          <w:rFonts w:ascii="Times New Roman" w:hAnsi="Times New Roman"/>
          <w:sz w:val="24"/>
          <w:szCs w:val="24"/>
          <w:lang w:val="ru-RU" w:eastAsia="ru-RU"/>
        </w:rPr>
      </w:pPr>
      <w:r>
        <w:rPr>
          <w:rFonts w:ascii="Times New Roman" w:hAnsi="Times New Roman"/>
          <w:color w:val="000000"/>
          <w:sz w:val="24"/>
          <w:szCs w:val="24"/>
          <w:lang w:val="ru-RU" w:eastAsia="ru-RU"/>
        </w:rPr>
        <w:t>Для выбора рациональной</w:t>
      </w:r>
      <w:r w:rsidRPr="00482656">
        <w:rPr>
          <w:rFonts w:ascii="Times New Roman" w:hAnsi="Times New Roman"/>
          <w:color w:val="000000"/>
          <w:sz w:val="24"/>
          <w:szCs w:val="24"/>
          <w:lang w:val="ru-RU" w:eastAsia="ru-RU"/>
        </w:rPr>
        <w:t xml:space="preserve"> этапности развития терминала в условиях растущих объемов работы использован метод динамического программирования, предложенный в конце 1950-х гг. Р. Бэллманом и нашедший широкое применение в транспортной отрасли в научных трудах </w:t>
      </w:r>
      <w:r w:rsidRPr="00B403E3">
        <w:rPr>
          <w:rFonts w:ascii="Times New Roman" w:hAnsi="Times New Roman"/>
          <w:sz w:val="24"/>
          <w:szCs w:val="24"/>
          <w:lang w:val="ru-RU" w:eastAsia="ru-RU"/>
        </w:rPr>
        <w:t>В.М. Акулиничева, А.В. Быкадорова, А.В. Горинова, П.С. Грунтова, В.Г. Дзюб</w:t>
      </w:r>
      <w:r>
        <w:rPr>
          <w:rFonts w:ascii="Times New Roman" w:hAnsi="Times New Roman"/>
          <w:sz w:val="24"/>
          <w:szCs w:val="24"/>
          <w:lang w:val="ru-RU" w:eastAsia="ru-RU"/>
        </w:rPr>
        <w:t>ы</w:t>
      </w:r>
      <w:r w:rsidRPr="00B403E3">
        <w:rPr>
          <w:rFonts w:ascii="Times New Roman" w:hAnsi="Times New Roman"/>
          <w:sz w:val="24"/>
          <w:szCs w:val="24"/>
          <w:lang w:val="ru-RU" w:eastAsia="ru-RU"/>
        </w:rPr>
        <w:t>, Ю.И. Ефименко, Д.Н. Куклева, А.В. Минеев</w:t>
      </w:r>
      <w:r>
        <w:rPr>
          <w:rFonts w:ascii="Times New Roman" w:hAnsi="Times New Roman"/>
          <w:sz w:val="24"/>
          <w:szCs w:val="24"/>
          <w:lang w:val="ru-RU" w:eastAsia="ru-RU"/>
        </w:rPr>
        <w:t>а</w:t>
      </w:r>
      <w:r w:rsidRPr="00B403E3">
        <w:rPr>
          <w:rFonts w:ascii="Times New Roman" w:hAnsi="Times New Roman"/>
          <w:sz w:val="24"/>
          <w:szCs w:val="24"/>
          <w:lang w:val="ru-RU" w:eastAsia="ru-RU"/>
        </w:rPr>
        <w:t>, Ю.П. Наяшков</w:t>
      </w:r>
      <w:r>
        <w:rPr>
          <w:rFonts w:ascii="Times New Roman" w:hAnsi="Times New Roman"/>
          <w:sz w:val="24"/>
          <w:szCs w:val="24"/>
          <w:lang w:val="ru-RU" w:eastAsia="ru-RU"/>
        </w:rPr>
        <w:t xml:space="preserve">а, </w:t>
      </w:r>
      <w:r w:rsidRPr="00B403E3">
        <w:rPr>
          <w:rFonts w:ascii="Times New Roman" w:hAnsi="Times New Roman"/>
          <w:sz w:val="24"/>
          <w:szCs w:val="24"/>
          <w:lang w:val="ru-RU" w:eastAsia="ru-RU"/>
        </w:rPr>
        <w:t>В.Я. Негре</w:t>
      </w:r>
      <w:r>
        <w:rPr>
          <w:rFonts w:ascii="Times New Roman" w:hAnsi="Times New Roman"/>
          <w:sz w:val="24"/>
          <w:szCs w:val="24"/>
          <w:lang w:val="ru-RU" w:eastAsia="ru-RU"/>
        </w:rPr>
        <w:t>я,</w:t>
      </w:r>
      <w:r w:rsidRPr="00B403E3">
        <w:rPr>
          <w:rFonts w:ascii="Times New Roman" w:hAnsi="Times New Roman"/>
          <w:sz w:val="24"/>
          <w:szCs w:val="24"/>
          <w:lang w:val="ru-RU" w:eastAsia="ru-RU"/>
        </w:rPr>
        <w:t xml:space="preserve"> Л.А. Олейниковой, Н.В. Правдин</w:t>
      </w:r>
      <w:r>
        <w:rPr>
          <w:rFonts w:ascii="Times New Roman" w:hAnsi="Times New Roman"/>
          <w:sz w:val="24"/>
          <w:szCs w:val="24"/>
          <w:lang w:val="ru-RU" w:eastAsia="ru-RU"/>
        </w:rPr>
        <w:t>а</w:t>
      </w:r>
      <w:r w:rsidRPr="00B403E3">
        <w:rPr>
          <w:rFonts w:ascii="Times New Roman" w:hAnsi="Times New Roman"/>
          <w:sz w:val="24"/>
          <w:szCs w:val="24"/>
          <w:lang w:val="ru-RU" w:eastAsia="ru-RU"/>
        </w:rPr>
        <w:t>, Н.В. Туляковой, И.В. Турбина, И.Е. Савченко, Е.А. Сотникова, А.В. Сугоровского, Т.Н. Федотова.</w:t>
      </w:r>
    </w:p>
    <w:p w:rsidR="0003622F" w:rsidRPr="00482656" w:rsidRDefault="0003622F" w:rsidP="00482656">
      <w:pPr>
        <w:spacing w:after="0" w:line="240" w:lineRule="auto"/>
        <w:ind w:firstLine="709"/>
        <w:jc w:val="both"/>
        <w:rPr>
          <w:rFonts w:ascii="Times New Roman" w:hAnsi="Times New Roman"/>
          <w:color w:val="000000"/>
          <w:sz w:val="24"/>
          <w:szCs w:val="24"/>
          <w:lang w:val="ru-RU" w:eastAsia="ru-RU"/>
        </w:rPr>
      </w:pPr>
      <w:r w:rsidRPr="00482656">
        <w:rPr>
          <w:rFonts w:ascii="Times New Roman" w:hAnsi="Times New Roman"/>
          <w:color w:val="000000"/>
          <w:sz w:val="24"/>
          <w:szCs w:val="24"/>
          <w:lang w:val="ru-RU" w:eastAsia="ru-RU"/>
        </w:rPr>
        <w:t xml:space="preserve">Под </w:t>
      </w:r>
      <w:r>
        <w:rPr>
          <w:rFonts w:ascii="Times New Roman" w:hAnsi="Times New Roman"/>
          <w:color w:val="000000"/>
          <w:sz w:val="24"/>
          <w:szCs w:val="24"/>
          <w:lang w:val="ru-RU" w:eastAsia="ru-RU"/>
        </w:rPr>
        <w:t>рациональным</w:t>
      </w:r>
      <w:r w:rsidRPr="00482656">
        <w:rPr>
          <w:rFonts w:ascii="Times New Roman" w:hAnsi="Times New Roman"/>
          <w:color w:val="000000"/>
          <w:sz w:val="24"/>
          <w:szCs w:val="24"/>
          <w:lang w:val="ru-RU" w:eastAsia="ru-RU"/>
        </w:rPr>
        <w:t xml:space="preserve"> вариантом этапности развития терминалов следует понимать такую последовательность мероприятий по изменению их технического состояния и такие сроки реализации этих мероприятий, которые в совокупности с рациональной технологией работы за расчётный период T обеспечивают минимум критерия эффективности, в качестве которого рекомендуются суммарные приведенные расходы:</w:t>
      </w:r>
    </w:p>
    <w:p w:rsidR="0003622F" w:rsidRPr="00482656" w:rsidRDefault="0003622F" w:rsidP="00482656">
      <w:pPr>
        <w:spacing w:after="0" w:line="240" w:lineRule="auto"/>
        <w:ind w:firstLine="709"/>
        <w:jc w:val="right"/>
        <w:rPr>
          <w:rFonts w:ascii="Times New Roman" w:hAnsi="Times New Roman"/>
          <w:color w:val="000000"/>
          <w:sz w:val="24"/>
          <w:szCs w:val="24"/>
          <w:lang w:val="ru-RU" w:eastAsia="ru-RU"/>
        </w:rPr>
      </w:pPr>
      <w:r w:rsidRPr="007A3949">
        <w:rPr>
          <w:rFonts w:ascii="Times New Roman" w:eastAsia="Times New Roman" w:hAnsi="Times New Roman"/>
          <w:color w:val="000000"/>
          <w:position w:val="-34"/>
          <w:sz w:val="24"/>
          <w:szCs w:val="24"/>
          <w:lang w:val="ru-RU" w:eastAsia="ru-RU"/>
        </w:rPr>
        <w:object w:dxaOrig="42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42.75pt" o:ole="">
            <v:imagedata r:id="rId5" o:title=""/>
          </v:shape>
          <o:OLEObject Type="Embed" ProgID="Equation.3" ShapeID="_x0000_i1025" DrawAspect="Content" ObjectID="_1410105311" r:id="rId6"/>
        </w:object>
      </w:r>
      <w:r w:rsidRPr="00482656">
        <w:rPr>
          <w:rFonts w:ascii="Times New Roman" w:hAnsi="Times New Roman"/>
          <w:color w:val="000000"/>
          <w:sz w:val="24"/>
          <w:szCs w:val="24"/>
          <w:lang w:val="ru-RU" w:eastAsia="ru-RU"/>
        </w:rPr>
        <w:t>,</w:t>
      </w:r>
      <w:bookmarkStart w:id="0" w:name="_GoBack"/>
      <w:r w:rsidRPr="00482656">
        <w:rPr>
          <w:rFonts w:ascii="Times New Roman" w:hAnsi="Times New Roman"/>
          <w:color w:val="000000"/>
          <w:sz w:val="24"/>
          <w:szCs w:val="24"/>
          <w:lang w:val="ru-RU" w:eastAsia="ru-RU"/>
        </w:rPr>
        <w:t xml:space="preserve">  </w:t>
      </w:r>
      <w:bookmarkEnd w:id="0"/>
      <w:r w:rsidRPr="00482656">
        <w:rPr>
          <w:rFonts w:ascii="Times New Roman" w:hAnsi="Times New Roman"/>
          <w:color w:val="000000"/>
          <w:sz w:val="24"/>
          <w:szCs w:val="24"/>
          <w:lang w:val="ru-RU" w:eastAsia="ru-RU"/>
        </w:rPr>
        <w:t xml:space="preserve">                         (1)</w:t>
      </w:r>
    </w:p>
    <w:p w:rsidR="0003622F" w:rsidRPr="00482656" w:rsidRDefault="0003622F" w:rsidP="00561DF8">
      <w:pPr>
        <w:spacing w:after="0" w:line="240" w:lineRule="auto"/>
        <w:jc w:val="both"/>
        <w:rPr>
          <w:rFonts w:ascii="Times New Roman" w:hAnsi="Times New Roman"/>
          <w:color w:val="000000"/>
          <w:sz w:val="24"/>
          <w:szCs w:val="24"/>
          <w:lang w:val="ru-RU" w:eastAsia="ru-RU"/>
        </w:rPr>
      </w:pPr>
      <w:r w:rsidRPr="00482656">
        <w:rPr>
          <w:rFonts w:ascii="Times New Roman" w:hAnsi="Times New Roman"/>
          <w:color w:val="000000"/>
          <w:sz w:val="24"/>
          <w:szCs w:val="24"/>
          <w:lang w:val="ru-RU" w:eastAsia="ru-RU"/>
        </w:rPr>
        <w:t xml:space="preserve">где </w:t>
      </w:r>
      <w:r w:rsidRPr="00482656">
        <w:rPr>
          <w:rFonts w:ascii="Times New Roman" w:eastAsia="Times New Roman" w:hAnsi="Times New Roman"/>
          <w:color w:val="000000"/>
          <w:sz w:val="24"/>
          <w:szCs w:val="24"/>
          <w:lang w:val="ru-RU" w:eastAsia="ru-RU"/>
        </w:rPr>
        <w:object w:dxaOrig="700" w:dyaOrig="440">
          <v:shape id="_x0000_i1026" type="#_x0000_t75" style="width:29.25pt;height:19.5pt" o:ole="">
            <v:imagedata r:id="rId7" o:title=""/>
          </v:shape>
          <o:OLEObject Type="Embed" ProgID="Equation.3" ShapeID="_x0000_i1026" DrawAspect="Content" ObjectID="_1410105312" r:id="rId8"/>
        </w:object>
      </w:r>
      <w:r w:rsidRPr="00482656">
        <w:rPr>
          <w:rFonts w:ascii="Times New Roman" w:hAnsi="Times New Roman"/>
          <w:color w:val="000000"/>
          <w:sz w:val="24"/>
          <w:szCs w:val="24"/>
          <w:lang w:val="ru-RU" w:eastAsia="ru-RU"/>
        </w:rPr>
        <w:t xml:space="preserve">– соответственно инвестиционные вложения и эксплуатационные расходы на t-ом шаге; </w:t>
      </w:r>
      <w:r w:rsidRPr="00482656">
        <w:rPr>
          <w:rFonts w:ascii="Times New Roman" w:eastAsia="Times New Roman" w:hAnsi="Times New Roman"/>
          <w:color w:val="000000"/>
          <w:sz w:val="24"/>
          <w:szCs w:val="24"/>
          <w:lang w:val="ru-RU" w:eastAsia="ru-RU"/>
        </w:rPr>
        <w:object w:dxaOrig="279" w:dyaOrig="440">
          <v:shape id="_x0000_i1027" type="#_x0000_t75" style="width:15pt;height:24pt" o:ole="">
            <v:imagedata r:id="rId9" o:title=""/>
          </v:shape>
          <o:OLEObject Type="Embed" ProgID="Equation.3" ShapeID="_x0000_i1027" DrawAspect="Content" ObjectID="_1410105313" r:id="rId10"/>
        </w:object>
      </w:r>
      <w:r w:rsidRPr="00482656">
        <w:rPr>
          <w:rFonts w:ascii="Times New Roman" w:hAnsi="Times New Roman"/>
          <w:color w:val="000000"/>
          <w:sz w:val="24"/>
          <w:szCs w:val="24"/>
          <w:lang w:val="ru-RU" w:eastAsia="ru-RU"/>
        </w:rPr>
        <w:t xml:space="preserve"> – коэффициент дисконтирования затрат; </w:t>
      </w:r>
      <w:r w:rsidRPr="00482656">
        <w:rPr>
          <w:rFonts w:ascii="Times New Roman" w:eastAsia="Times New Roman" w:hAnsi="Times New Roman"/>
          <w:color w:val="000000"/>
          <w:sz w:val="24"/>
          <w:szCs w:val="24"/>
          <w:lang w:val="ru-RU" w:eastAsia="ru-RU"/>
        </w:rPr>
        <w:object w:dxaOrig="200" w:dyaOrig="260">
          <v:shape id="_x0000_i1028" type="#_x0000_t75" style="width:10.5pt;height:13.5pt" o:ole="">
            <v:imagedata r:id="rId11" o:title=""/>
          </v:shape>
          <o:OLEObject Type="Embed" ProgID="Equation.3" ShapeID="_x0000_i1028" DrawAspect="Content" ObjectID="_1410105314" r:id="rId12"/>
        </w:object>
      </w:r>
      <w:r w:rsidRPr="00482656">
        <w:rPr>
          <w:rFonts w:ascii="Times New Roman" w:hAnsi="Times New Roman"/>
          <w:color w:val="000000"/>
          <w:sz w:val="24"/>
          <w:szCs w:val="24"/>
          <w:lang w:val="ru-RU" w:eastAsia="ru-RU"/>
        </w:rPr>
        <w:t xml:space="preserve"> – доля налоговых отчислений от прибыли, которая при расчете народнохозяйственной эффективности принимается равной нулю.</w:t>
      </w:r>
    </w:p>
    <w:p w:rsidR="0003622F" w:rsidRPr="00482656" w:rsidRDefault="0003622F" w:rsidP="00482656">
      <w:pPr>
        <w:spacing w:after="0" w:line="240" w:lineRule="auto"/>
        <w:ind w:firstLine="709"/>
        <w:jc w:val="both"/>
        <w:rPr>
          <w:rFonts w:ascii="Times New Roman" w:hAnsi="Times New Roman"/>
          <w:color w:val="000000"/>
          <w:sz w:val="24"/>
          <w:szCs w:val="24"/>
          <w:lang w:val="ru-RU" w:eastAsia="ru-RU"/>
        </w:rPr>
      </w:pPr>
      <w:r w:rsidRPr="00482656">
        <w:rPr>
          <w:rFonts w:ascii="Times New Roman" w:hAnsi="Times New Roman"/>
          <w:color w:val="000000"/>
          <w:sz w:val="24"/>
          <w:szCs w:val="24"/>
          <w:lang w:val="ru-RU" w:eastAsia="ru-RU"/>
        </w:rPr>
        <w:t xml:space="preserve">При постоянной норме дисконта коэффициент дисконтирования затрат равен: </w:t>
      </w:r>
    </w:p>
    <w:p w:rsidR="0003622F" w:rsidRPr="00482656" w:rsidRDefault="0003622F" w:rsidP="00482656">
      <w:pPr>
        <w:spacing w:after="0" w:line="240" w:lineRule="auto"/>
        <w:ind w:firstLine="567"/>
        <w:jc w:val="right"/>
        <w:rPr>
          <w:rFonts w:ascii="Times New Roman" w:hAnsi="Times New Roman"/>
          <w:sz w:val="24"/>
          <w:szCs w:val="24"/>
          <w:lang w:val="ru-RU"/>
        </w:rPr>
      </w:pPr>
      <w:r w:rsidRPr="00482656">
        <w:rPr>
          <w:rFonts w:ascii="Times New Roman" w:hAnsi="Times New Roman"/>
          <w:position w:val="-36"/>
          <w:sz w:val="24"/>
          <w:szCs w:val="24"/>
        </w:rPr>
        <w:object w:dxaOrig="1300" w:dyaOrig="740">
          <v:shape id="_x0000_i1029" type="#_x0000_t75" style="width:60.75pt;height:35.25pt" o:ole="">
            <v:imagedata r:id="rId13" o:title=""/>
          </v:shape>
          <o:OLEObject Type="Embed" ProgID="Equation.3" ShapeID="_x0000_i1029" DrawAspect="Content" ObjectID="_1410105315" r:id="rId14"/>
        </w:object>
      </w:r>
      <w:r w:rsidRPr="00482656">
        <w:rPr>
          <w:rFonts w:ascii="Times New Roman" w:hAnsi="Times New Roman"/>
          <w:sz w:val="24"/>
          <w:szCs w:val="24"/>
          <w:lang w:val="ru-RU"/>
        </w:rPr>
        <w:t xml:space="preserve"> ,                        </w:t>
      </w:r>
      <w:r>
        <w:rPr>
          <w:rFonts w:ascii="Times New Roman" w:hAnsi="Times New Roman"/>
          <w:sz w:val="24"/>
          <w:szCs w:val="24"/>
          <w:lang w:val="ru-RU"/>
        </w:rPr>
        <w:t xml:space="preserve">            </w:t>
      </w:r>
      <w:r w:rsidRPr="00482656">
        <w:rPr>
          <w:rFonts w:ascii="Times New Roman" w:hAnsi="Times New Roman"/>
          <w:sz w:val="24"/>
          <w:szCs w:val="24"/>
          <w:lang w:val="ru-RU"/>
        </w:rPr>
        <w:t xml:space="preserve">                         (2)</w:t>
      </w:r>
    </w:p>
    <w:p w:rsidR="0003622F" w:rsidRPr="00482656" w:rsidRDefault="0003622F" w:rsidP="00482656">
      <w:pPr>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где E – норма дисконта</w:t>
      </w:r>
      <w:r w:rsidRPr="00482656">
        <w:rPr>
          <w:rFonts w:ascii="Times New Roman" w:hAnsi="Times New Roman"/>
          <w:color w:val="000000"/>
          <w:sz w:val="24"/>
          <w:szCs w:val="24"/>
          <w:lang w:val="ru-RU" w:eastAsia="ru-RU"/>
        </w:rPr>
        <w:t>.</w:t>
      </w:r>
    </w:p>
    <w:p w:rsidR="0003622F" w:rsidRPr="00482656" w:rsidRDefault="0003622F" w:rsidP="00482656">
      <w:pPr>
        <w:spacing w:after="0" w:line="240" w:lineRule="auto"/>
        <w:ind w:firstLine="567"/>
        <w:jc w:val="both"/>
        <w:rPr>
          <w:rFonts w:ascii="Times New Roman" w:hAnsi="Times New Roman"/>
          <w:color w:val="000000"/>
          <w:sz w:val="24"/>
          <w:szCs w:val="24"/>
          <w:lang w:val="ru-RU" w:eastAsia="ru-RU"/>
        </w:rPr>
      </w:pPr>
      <w:r w:rsidRPr="00482656">
        <w:rPr>
          <w:rFonts w:ascii="Times New Roman" w:hAnsi="Times New Roman"/>
          <w:color w:val="000000"/>
          <w:sz w:val="24"/>
          <w:szCs w:val="24"/>
          <w:lang w:val="ru-RU" w:eastAsia="ru-RU"/>
        </w:rPr>
        <w:t>Ставка дисконта используется для оценки экономической эффективности проектов, требующих больших объемов инвестирования, сроком строительства более года. Норма дисконта позволяет учитывать фактор времени. С ее помощью осуществляется соизмерение разновременных результатов и затрат путем приведения их к начальному периоду (момент времени t=0).</w:t>
      </w:r>
    </w:p>
    <w:p w:rsidR="0003622F" w:rsidRPr="00482656" w:rsidRDefault="0003622F" w:rsidP="00482656">
      <w:pPr>
        <w:spacing w:after="0" w:line="240" w:lineRule="auto"/>
        <w:ind w:firstLine="567"/>
        <w:jc w:val="both"/>
        <w:rPr>
          <w:rFonts w:ascii="Times New Roman" w:hAnsi="Times New Roman"/>
          <w:color w:val="000000"/>
          <w:sz w:val="24"/>
          <w:szCs w:val="24"/>
          <w:lang w:val="ru-RU" w:eastAsia="ru-RU"/>
        </w:rPr>
      </w:pPr>
      <w:r w:rsidRPr="00482656">
        <w:rPr>
          <w:rFonts w:ascii="Times New Roman" w:hAnsi="Times New Roman"/>
          <w:color w:val="000000"/>
          <w:sz w:val="24"/>
          <w:szCs w:val="24"/>
          <w:lang w:val="ru-RU" w:eastAsia="ru-RU"/>
        </w:rPr>
        <w:t>Для экономической оценки эффективности поэтапного развития тылового терминала используется чистый дисконтированный доход:</w:t>
      </w:r>
    </w:p>
    <w:p w:rsidR="0003622F" w:rsidRPr="00482656" w:rsidRDefault="0003622F" w:rsidP="00482656">
      <w:pPr>
        <w:spacing w:after="0" w:line="240" w:lineRule="auto"/>
        <w:ind w:firstLine="425"/>
        <w:jc w:val="right"/>
        <w:rPr>
          <w:rFonts w:ascii="Times New Roman" w:hAnsi="Times New Roman"/>
          <w:sz w:val="24"/>
          <w:szCs w:val="24"/>
          <w:lang w:val="ru-RU"/>
        </w:rPr>
      </w:pPr>
      <w:r w:rsidRPr="00482656">
        <w:rPr>
          <w:rFonts w:ascii="Times New Roman" w:hAnsi="Times New Roman"/>
          <w:position w:val="-32"/>
          <w:sz w:val="24"/>
          <w:szCs w:val="24"/>
        </w:rPr>
        <w:object w:dxaOrig="4160" w:dyaOrig="720">
          <v:shape id="_x0000_i1030" type="#_x0000_t75" style="width:201.75pt;height:36pt" o:ole="">
            <v:imagedata r:id="rId15" o:title=""/>
          </v:shape>
          <o:OLEObject Type="Embed" ProgID="Equation.3" ShapeID="_x0000_i1030" DrawAspect="Content" ObjectID="_1410105316" r:id="rId16"/>
        </w:object>
      </w:r>
      <w:r w:rsidRPr="00482656">
        <w:rPr>
          <w:rFonts w:ascii="Times New Roman" w:hAnsi="Times New Roman"/>
          <w:sz w:val="24"/>
          <w:szCs w:val="24"/>
        </w:rPr>
        <w:object w:dxaOrig="180" w:dyaOrig="340">
          <v:shape id="_x0000_i1031" type="#_x0000_t75" style="width:8.25pt;height:16.5pt" o:ole="">
            <v:imagedata r:id="rId17" o:title=""/>
          </v:shape>
          <o:OLEObject Type="Embed" ProgID="Equation.3" ShapeID="_x0000_i1031" DrawAspect="Content" ObjectID="_1410105317" r:id="rId18"/>
        </w:object>
      </w:r>
      <w:r w:rsidRPr="00482656">
        <w:rPr>
          <w:rFonts w:ascii="Times New Roman" w:hAnsi="Times New Roman"/>
          <w:sz w:val="24"/>
          <w:szCs w:val="24"/>
          <w:lang w:val="ru-RU"/>
        </w:rPr>
        <w:t xml:space="preserve"> ,                </w:t>
      </w:r>
      <w:r>
        <w:rPr>
          <w:rFonts w:ascii="Times New Roman" w:hAnsi="Times New Roman"/>
          <w:sz w:val="24"/>
          <w:szCs w:val="24"/>
          <w:lang w:val="ru-RU"/>
        </w:rPr>
        <w:t xml:space="preserve">           </w:t>
      </w:r>
      <w:r w:rsidRPr="00482656">
        <w:rPr>
          <w:rFonts w:ascii="Times New Roman" w:hAnsi="Times New Roman"/>
          <w:sz w:val="24"/>
          <w:szCs w:val="24"/>
          <w:lang w:val="ru-RU"/>
        </w:rPr>
        <w:t xml:space="preserve">     </w:t>
      </w:r>
      <w:r>
        <w:rPr>
          <w:rFonts w:ascii="Times New Roman" w:hAnsi="Times New Roman"/>
          <w:sz w:val="24"/>
          <w:szCs w:val="24"/>
          <w:lang w:val="ru-RU"/>
        </w:rPr>
        <w:t>(3</w:t>
      </w:r>
      <w:r w:rsidRPr="00482656">
        <w:rPr>
          <w:rFonts w:ascii="Times New Roman" w:hAnsi="Times New Roman"/>
          <w:sz w:val="24"/>
          <w:szCs w:val="24"/>
          <w:lang w:val="ru-RU"/>
        </w:rPr>
        <w:t>)</w:t>
      </w:r>
    </w:p>
    <w:p w:rsidR="0003622F" w:rsidRPr="00482656" w:rsidRDefault="0003622F" w:rsidP="00482656">
      <w:pPr>
        <w:spacing w:after="0" w:line="240" w:lineRule="auto"/>
        <w:jc w:val="both"/>
        <w:rPr>
          <w:rFonts w:ascii="Times New Roman" w:hAnsi="Times New Roman"/>
          <w:color w:val="000000"/>
          <w:sz w:val="24"/>
          <w:szCs w:val="24"/>
          <w:lang w:val="ru-RU" w:eastAsia="ru-RU"/>
        </w:rPr>
      </w:pPr>
      <w:r w:rsidRPr="00482656">
        <w:rPr>
          <w:rFonts w:ascii="Times New Roman" w:hAnsi="Times New Roman"/>
          <w:color w:val="000000"/>
          <w:sz w:val="24"/>
          <w:szCs w:val="24"/>
          <w:lang w:val="ru-RU" w:eastAsia="ru-RU"/>
        </w:rPr>
        <w:t>где</w:t>
      </w:r>
      <w:r w:rsidRPr="00482656">
        <w:rPr>
          <w:rFonts w:ascii="Times New Roman" w:eastAsia="Times New Roman" w:hAnsi="Times New Roman"/>
          <w:color w:val="000000"/>
          <w:sz w:val="24"/>
          <w:szCs w:val="24"/>
          <w:lang w:val="ru-RU" w:eastAsia="ru-RU"/>
        </w:rPr>
        <w:object w:dxaOrig="340" w:dyaOrig="360">
          <v:shape id="_x0000_i1032" type="#_x0000_t75" style="width:16.5pt;height:18.75pt" o:ole="">
            <v:imagedata r:id="rId19" o:title=""/>
          </v:shape>
          <o:OLEObject Type="Embed" ProgID="Equation.3" ShapeID="_x0000_i1032" DrawAspect="Content" ObjectID="_1410105318" r:id="rId20"/>
        </w:object>
      </w:r>
      <w:r w:rsidRPr="00482656">
        <w:rPr>
          <w:rFonts w:ascii="Times New Roman" w:hAnsi="Times New Roman"/>
          <w:color w:val="000000"/>
          <w:sz w:val="24"/>
          <w:szCs w:val="24"/>
          <w:lang w:val="ru-RU" w:eastAsia="ru-RU"/>
        </w:rPr>
        <w:t xml:space="preserve"> – результат (доходы) от инвестиционного проекта (поступления от всех видов деятельности, величина эффекта); </w:t>
      </w:r>
      <w:r w:rsidRPr="00482656">
        <w:rPr>
          <w:rFonts w:ascii="Times New Roman" w:eastAsia="Times New Roman" w:hAnsi="Times New Roman"/>
          <w:color w:val="000000"/>
          <w:sz w:val="24"/>
          <w:szCs w:val="24"/>
          <w:lang w:val="ru-RU" w:eastAsia="ru-RU"/>
        </w:rPr>
        <w:object w:dxaOrig="300" w:dyaOrig="420">
          <v:shape id="_x0000_i1033" type="#_x0000_t75" style="width:15pt;height:21.75pt" o:ole="">
            <v:imagedata r:id="rId21" o:title=""/>
          </v:shape>
          <o:OLEObject Type="Embed" ProgID="Equation.3" ShapeID="_x0000_i1033" DrawAspect="Content" ObjectID="_1410105319" r:id="rId22"/>
        </w:object>
      </w:r>
      <w:r w:rsidRPr="00482656">
        <w:rPr>
          <w:rFonts w:ascii="Times New Roman" w:hAnsi="Times New Roman"/>
          <w:color w:val="000000"/>
          <w:sz w:val="24"/>
          <w:szCs w:val="24"/>
          <w:lang w:val="ru-RU" w:eastAsia="ru-RU"/>
        </w:rPr>
        <w:t>–</w:t>
      </w:r>
      <w:r>
        <w:rPr>
          <w:rFonts w:ascii="Times New Roman" w:hAnsi="Times New Roman"/>
          <w:color w:val="000000"/>
          <w:sz w:val="24"/>
          <w:szCs w:val="24"/>
          <w:lang w:val="ru-RU" w:eastAsia="ru-RU"/>
        </w:rPr>
        <w:t xml:space="preserve"> </w:t>
      </w:r>
      <w:r w:rsidRPr="00482656">
        <w:rPr>
          <w:rFonts w:ascii="Times New Roman" w:hAnsi="Times New Roman"/>
          <w:color w:val="000000"/>
          <w:sz w:val="24"/>
          <w:szCs w:val="24"/>
          <w:lang w:val="ru-RU" w:eastAsia="ru-RU"/>
        </w:rPr>
        <w:t>затраты (текущие затраты и капитальные вложения),</w:t>
      </w:r>
      <w:r w:rsidRPr="00482656">
        <w:rPr>
          <w:rFonts w:ascii="Times New Roman" w:eastAsia="Times New Roman" w:hAnsi="Times New Roman"/>
          <w:color w:val="000000"/>
          <w:sz w:val="24"/>
          <w:szCs w:val="24"/>
          <w:lang w:val="ru-RU" w:eastAsia="ru-RU"/>
        </w:rPr>
        <w:object w:dxaOrig="499" w:dyaOrig="440">
          <v:shape id="_x0000_i1034" type="#_x0000_t75" style="width:16.5pt;height:15pt" o:ole="">
            <v:imagedata r:id="rId23" o:title=""/>
          </v:shape>
          <o:OLEObject Type="Embed" ProgID="Equation.3" ShapeID="_x0000_i1034" DrawAspect="Content" ObjectID="_1410105320" r:id="rId24"/>
        </w:object>
      </w:r>
      <w:r w:rsidRPr="00482656">
        <w:rPr>
          <w:rFonts w:ascii="Times New Roman" w:hAnsi="Times New Roman"/>
          <w:color w:val="000000"/>
          <w:sz w:val="24"/>
          <w:szCs w:val="24"/>
          <w:lang w:val="ru-RU" w:eastAsia="ru-RU"/>
        </w:rPr>
        <w:t xml:space="preserve"> – текущий эффект, достигаемый на </w:t>
      </w:r>
      <w:r w:rsidRPr="00482656">
        <w:rPr>
          <w:rFonts w:ascii="Times New Roman" w:eastAsia="Times New Roman" w:hAnsi="Times New Roman"/>
          <w:color w:val="000000"/>
          <w:sz w:val="24"/>
          <w:szCs w:val="24"/>
          <w:lang w:val="ru-RU" w:eastAsia="ru-RU"/>
        </w:rPr>
        <w:object w:dxaOrig="160" w:dyaOrig="279">
          <v:shape id="_x0000_i1035" type="#_x0000_t75" style="width:8.25pt;height:13.5pt" o:ole="">
            <v:imagedata r:id="rId25" o:title=""/>
          </v:shape>
          <o:OLEObject Type="Embed" ProgID="Equation.3" ShapeID="_x0000_i1035" DrawAspect="Content" ObjectID="_1410105321" r:id="rId26"/>
        </w:object>
      </w:r>
      <w:r w:rsidRPr="00482656">
        <w:rPr>
          <w:rFonts w:ascii="Times New Roman" w:hAnsi="Times New Roman"/>
          <w:color w:val="000000"/>
          <w:sz w:val="24"/>
          <w:szCs w:val="24"/>
          <w:lang w:val="ru-RU" w:eastAsia="ru-RU"/>
        </w:rPr>
        <w:t>- ом шаге расчета. Если ЧДД инвестиционного проекта положителен – проект является эффективным.</w:t>
      </w:r>
    </w:p>
    <w:p w:rsidR="0003622F" w:rsidRDefault="0003622F" w:rsidP="00561DF8">
      <w:pPr>
        <w:spacing w:after="0" w:line="240" w:lineRule="auto"/>
        <w:jc w:val="both"/>
        <w:rPr>
          <w:rFonts w:ascii="Times New Roman" w:hAnsi="Times New Roman"/>
          <w:color w:val="000000"/>
          <w:sz w:val="24"/>
          <w:szCs w:val="24"/>
          <w:lang w:val="ru-RU" w:eastAsia="ru-RU"/>
        </w:rPr>
      </w:pPr>
    </w:p>
    <w:p w:rsidR="0003622F" w:rsidRPr="00EB66A0" w:rsidRDefault="0003622F" w:rsidP="00561DF8">
      <w:pPr>
        <w:spacing w:after="0" w:line="240" w:lineRule="auto"/>
        <w:jc w:val="both"/>
        <w:rPr>
          <w:rFonts w:ascii="Times New Roman" w:hAnsi="Times New Roman"/>
          <w:color w:val="000000"/>
          <w:sz w:val="24"/>
          <w:szCs w:val="24"/>
          <w:lang w:val="ru-RU" w:eastAsia="ru-RU"/>
        </w:rPr>
      </w:pPr>
      <w:r w:rsidRPr="00EB66A0">
        <w:rPr>
          <w:rFonts w:ascii="Times New Roman" w:hAnsi="Times New Roman"/>
          <w:color w:val="000000"/>
          <w:sz w:val="24"/>
          <w:szCs w:val="24"/>
          <w:lang w:val="ru-RU" w:eastAsia="ru-RU"/>
        </w:rPr>
        <w:t xml:space="preserve">3. АЛГОРИТМ ВЫБОРА РАЦИОНАЛЬНОЙ ЭТАПНОСТИ РАЗВИТИЯ ТЕРМИНАЛА </w:t>
      </w:r>
    </w:p>
    <w:p w:rsidR="0003622F" w:rsidRPr="00482656" w:rsidRDefault="0003622F" w:rsidP="00482656">
      <w:pPr>
        <w:spacing w:after="0" w:line="240" w:lineRule="auto"/>
        <w:ind w:firstLine="567"/>
        <w:jc w:val="both"/>
        <w:rPr>
          <w:rFonts w:ascii="Times New Roman" w:hAnsi="Times New Roman"/>
          <w:color w:val="000000"/>
          <w:sz w:val="24"/>
          <w:szCs w:val="24"/>
          <w:lang w:val="ru-RU" w:eastAsia="ru-RU"/>
        </w:rPr>
      </w:pPr>
      <w:r w:rsidRPr="00482656">
        <w:rPr>
          <w:rFonts w:ascii="Times New Roman" w:hAnsi="Times New Roman"/>
          <w:color w:val="000000"/>
          <w:sz w:val="24"/>
          <w:szCs w:val="24"/>
          <w:lang w:val="ru-RU" w:eastAsia="ru-RU"/>
        </w:rPr>
        <w:t xml:space="preserve">Для решения задачи выбора </w:t>
      </w:r>
      <w:r>
        <w:rPr>
          <w:rFonts w:ascii="Times New Roman" w:hAnsi="Times New Roman"/>
          <w:color w:val="000000"/>
          <w:sz w:val="24"/>
          <w:szCs w:val="24"/>
          <w:lang w:val="ru-RU" w:eastAsia="ru-RU"/>
        </w:rPr>
        <w:t>рациональной</w:t>
      </w:r>
      <w:r w:rsidRPr="00482656">
        <w:rPr>
          <w:rFonts w:ascii="Times New Roman" w:hAnsi="Times New Roman"/>
          <w:color w:val="000000"/>
          <w:sz w:val="24"/>
          <w:szCs w:val="24"/>
          <w:lang w:val="ru-RU" w:eastAsia="ru-RU"/>
        </w:rPr>
        <w:t xml:space="preserve"> этапности развития проектируемый терминал рассматривается как физическая система S, состояние которой характеризуется набором параметров, являющихся показателями ее технического состояния и технологического обеспечения. Изменение или сохранение состояния терминала в момент времени</w:t>
      </w:r>
      <w:r w:rsidRPr="00253931">
        <w:rPr>
          <w:rFonts w:ascii="Times New Roman" w:hAnsi="Times New Roman"/>
          <w:i/>
          <w:color w:val="000000"/>
          <w:sz w:val="24"/>
          <w:szCs w:val="24"/>
          <w:lang w:val="ru-RU" w:eastAsia="ru-RU"/>
        </w:rPr>
        <w:t xml:space="preserve"> </w:t>
      </w:r>
      <w:r w:rsidRPr="00253931">
        <w:rPr>
          <w:rFonts w:ascii="Times New Roman" w:hAnsi="Times New Roman"/>
          <w:i/>
          <w:color w:val="000000"/>
          <w:sz w:val="24"/>
          <w:szCs w:val="24"/>
          <w:lang w:val="en-US" w:eastAsia="ru-RU"/>
        </w:rPr>
        <w:t>t</w:t>
      </w:r>
      <w:r w:rsidRPr="00253931">
        <w:rPr>
          <w:rFonts w:ascii="Times New Roman" w:hAnsi="Times New Roman"/>
          <w:color w:val="000000"/>
          <w:sz w:val="24"/>
          <w:szCs w:val="24"/>
          <w:lang w:val="ru-RU" w:eastAsia="ru-RU"/>
        </w:rPr>
        <w:t xml:space="preserve"> </w:t>
      </w:r>
      <w:r w:rsidRPr="00482656">
        <w:rPr>
          <w:rFonts w:ascii="Times New Roman" w:hAnsi="Times New Roman"/>
          <w:color w:val="000000"/>
          <w:sz w:val="24"/>
          <w:szCs w:val="24"/>
          <w:lang w:val="ru-RU" w:eastAsia="ru-RU"/>
        </w:rPr>
        <w:t xml:space="preserve">называется управлением </w:t>
      </w:r>
      <w:r w:rsidRPr="00482656">
        <w:rPr>
          <w:rFonts w:ascii="Times New Roman" w:eastAsia="Times New Roman" w:hAnsi="Times New Roman"/>
          <w:color w:val="000000"/>
          <w:sz w:val="24"/>
          <w:szCs w:val="24"/>
          <w:lang w:val="ru-RU" w:eastAsia="ru-RU"/>
        </w:rPr>
        <w:object w:dxaOrig="620" w:dyaOrig="380">
          <v:shape id="_x0000_i1036" type="#_x0000_t75" style="width:32.25pt;height:21pt" o:ole="">
            <v:imagedata r:id="rId27" o:title=""/>
          </v:shape>
          <o:OLEObject Type="Embed" ProgID="Equation.3" ShapeID="_x0000_i1036" DrawAspect="Content" ObjectID="_1410105322" r:id="rId28"/>
        </w:object>
      </w:r>
      <w:r w:rsidRPr="00482656">
        <w:rPr>
          <w:rFonts w:ascii="Times New Roman" w:hAnsi="Times New Roman"/>
          <w:color w:val="000000"/>
          <w:sz w:val="24"/>
          <w:szCs w:val="24"/>
          <w:lang w:val="ru-RU" w:eastAsia="ru-RU"/>
        </w:rPr>
        <w:t xml:space="preserve">, в результате которого терминал переходит в другое состояние </w:t>
      </w:r>
      <w:r w:rsidRPr="00561DF8">
        <w:rPr>
          <w:rFonts w:ascii="Times New Roman" w:hAnsi="Times New Roman"/>
          <w:i/>
          <w:color w:val="000000"/>
          <w:sz w:val="24"/>
          <w:szCs w:val="24"/>
          <w:lang w:val="ru-RU" w:eastAsia="ru-RU"/>
        </w:rPr>
        <w:t>(i</w:t>
      </w:r>
      <w:r w:rsidRPr="00561DF8">
        <w:rPr>
          <w:rFonts w:ascii="Times New Roman" w:eastAsia="Times New Roman" w:hAnsi="Times New Roman"/>
          <w:i/>
          <w:color w:val="000000"/>
          <w:sz w:val="24"/>
          <w:szCs w:val="24"/>
          <w:lang w:val="ru-RU" w:eastAsia="ru-RU"/>
        </w:rPr>
        <w:object w:dxaOrig="220" w:dyaOrig="220">
          <v:shape id="_x0000_i1037" type="#_x0000_t75" style="width:10.5pt;height:10.5pt" o:ole="">
            <v:imagedata r:id="rId29" o:title=""/>
          </v:shape>
          <o:OLEObject Type="Embed" ProgID="Equation.3" ShapeID="_x0000_i1037" DrawAspect="Content" ObjectID="_1410105323" r:id="rId30"/>
        </w:object>
      </w:r>
      <w:r w:rsidRPr="00561DF8">
        <w:rPr>
          <w:rFonts w:ascii="Times New Roman" w:hAnsi="Times New Roman"/>
          <w:i/>
          <w:color w:val="000000"/>
          <w:sz w:val="24"/>
          <w:szCs w:val="24"/>
          <w:lang w:val="ru-RU" w:eastAsia="ru-RU"/>
        </w:rPr>
        <w:t>j)</w:t>
      </w:r>
      <w:r w:rsidRPr="00482656">
        <w:rPr>
          <w:rFonts w:ascii="Times New Roman" w:hAnsi="Times New Roman"/>
          <w:color w:val="000000"/>
          <w:sz w:val="24"/>
          <w:szCs w:val="24"/>
          <w:lang w:val="ru-RU" w:eastAsia="ru-RU"/>
        </w:rPr>
        <w:t xml:space="preserve"> или остаётся без изменений </w:t>
      </w:r>
      <w:r w:rsidRPr="00561DF8">
        <w:rPr>
          <w:rFonts w:ascii="Times New Roman" w:hAnsi="Times New Roman"/>
          <w:i/>
          <w:color w:val="000000"/>
          <w:sz w:val="24"/>
          <w:szCs w:val="24"/>
          <w:lang w:val="ru-RU" w:eastAsia="ru-RU"/>
        </w:rPr>
        <w:t>(i=j).</w:t>
      </w:r>
      <w:r w:rsidRPr="00482656">
        <w:rPr>
          <w:rFonts w:ascii="Times New Roman" w:hAnsi="Times New Roman"/>
          <w:color w:val="000000"/>
          <w:sz w:val="24"/>
          <w:szCs w:val="24"/>
          <w:lang w:val="ru-RU" w:eastAsia="ru-RU"/>
        </w:rPr>
        <w:t xml:space="preserve"> Каждому состоянию терминала </w:t>
      </w:r>
      <w:r w:rsidRPr="00561DF8">
        <w:rPr>
          <w:rFonts w:ascii="Times New Roman" w:hAnsi="Times New Roman"/>
          <w:i/>
          <w:color w:val="000000"/>
          <w:sz w:val="24"/>
          <w:szCs w:val="24"/>
          <w:lang w:val="ru-RU" w:eastAsia="ru-RU"/>
        </w:rPr>
        <w:t>Sj</w:t>
      </w:r>
      <w:r w:rsidRPr="00482656">
        <w:rPr>
          <w:rFonts w:ascii="Times New Roman" w:hAnsi="Times New Roman"/>
          <w:color w:val="000000"/>
          <w:sz w:val="24"/>
          <w:szCs w:val="24"/>
          <w:lang w:val="ru-RU" w:eastAsia="ru-RU"/>
        </w:rPr>
        <w:t xml:space="preserve"> и году эксплуатации t соответствует величина годовых эксплуатационных расходов </w:t>
      </w:r>
      <w:r w:rsidRPr="00482656">
        <w:rPr>
          <w:rFonts w:ascii="Times New Roman" w:eastAsia="Times New Roman" w:hAnsi="Times New Roman"/>
          <w:color w:val="000000"/>
          <w:sz w:val="24"/>
          <w:szCs w:val="24"/>
          <w:lang w:val="ru-RU" w:eastAsia="ru-RU"/>
        </w:rPr>
        <w:object w:dxaOrig="400" w:dyaOrig="400">
          <v:shape id="_x0000_i1038" type="#_x0000_t75" style="width:21pt;height:21.75pt" o:ole="">
            <v:imagedata r:id="rId31" o:title=""/>
          </v:shape>
          <o:OLEObject Type="Embed" ProgID="Equation.3" ShapeID="_x0000_i1038" DrawAspect="Content" ObjectID="_1410105324" r:id="rId32"/>
        </w:object>
      </w:r>
      <w:r w:rsidRPr="00482656">
        <w:rPr>
          <w:rFonts w:ascii="Times New Roman" w:hAnsi="Times New Roman"/>
          <w:color w:val="000000"/>
          <w:sz w:val="24"/>
          <w:szCs w:val="24"/>
          <w:lang w:val="ru-RU" w:eastAsia="ru-RU"/>
        </w:rPr>
        <w:t xml:space="preserve">, являющаяся частью критерия эффективности. Для перехода терминала из одного состояния </w:t>
      </w:r>
      <w:r w:rsidRPr="00561DF8">
        <w:rPr>
          <w:rFonts w:ascii="Times New Roman" w:hAnsi="Times New Roman"/>
          <w:i/>
          <w:color w:val="000000"/>
          <w:sz w:val="24"/>
          <w:szCs w:val="24"/>
          <w:lang w:val="ru-RU" w:eastAsia="ru-RU"/>
        </w:rPr>
        <w:t xml:space="preserve">Si </w:t>
      </w:r>
      <w:r w:rsidRPr="00482656">
        <w:rPr>
          <w:rFonts w:ascii="Times New Roman" w:hAnsi="Times New Roman"/>
          <w:color w:val="000000"/>
          <w:sz w:val="24"/>
          <w:szCs w:val="24"/>
          <w:lang w:val="ru-RU" w:eastAsia="ru-RU"/>
        </w:rPr>
        <w:t xml:space="preserve">в </w:t>
      </w:r>
      <w:r w:rsidRPr="00561DF8">
        <w:rPr>
          <w:rFonts w:ascii="Times New Roman" w:hAnsi="Times New Roman"/>
          <w:i/>
          <w:color w:val="000000"/>
          <w:sz w:val="24"/>
          <w:szCs w:val="24"/>
          <w:lang w:val="ru-RU" w:eastAsia="ru-RU"/>
        </w:rPr>
        <w:t>Sj (i</w:t>
      </w:r>
      <w:r w:rsidRPr="00561DF8">
        <w:rPr>
          <w:rFonts w:ascii="Times New Roman" w:eastAsia="Times New Roman" w:hAnsi="Times New Roman"/>
          <w:i/>
          <w:color w:val="000000"/>
          <w:sz w:val="24"/>
          <w:szCs w:val="24"/>
          <w:lang w:val="ru-RU" w:eastAsia="ru-RU"/>
        </w:rPr>
        <w:object w:dxaOrig="220" w:dyaOrig="220">
          <v:shape id="_x0000_i1039" type="#_x0000_t75" style="width:10.5pt;height:10.5pt" o:ole="">
            <v:imagedata r:id="rId29" o:title=""/>
          </v:shape>
          <o:OLEObject Type="Embed" ProgID="Equation.3" ShapeID="_x0000_i1039" DrawAspect="Content" ObjectID="_1410105325" r:id="rId33"/>
        </w:object>
      </w:r>
      <w:r w:rsidRPr="00561DF8">
        <w:rPr>
          <w:rFonts w:ascii="Times New Roman" w:hAnsi="Times New Roman"/>
          <w:i/>
          <w:color w:val="000000"/>
          <w:sz w:val="24"/>
          <w:szCs w:val="24"/>
          <w:lang w:val="ru-RU" w:eastAsia="ru-RU"/>
        </w:rPr>
        <w:t>j)</w:t>
      </w:r>
      <w:r w:rsidRPr="00482656">
        <w:rPr>
          <w:rFonts w:ascii="Times New Roman" w:hAnsi="Times New Roman"/>
          <w:color w:val="000000"/>
          <w:sz w:val="24"/>
          <w:szCs w:val="24"/>
          <w:lang w:val="ru-RU" w:eastAsia="ru-RU"/>
        </w:rPr>
        <w:t xml:space="preserve"> необходимы определённые капитальные затраты </w:t>
      </w:r>
      <w:r w:rsidRPr="00482656">
        <w:rPr>
          <w:rFonts w:ascii="Times New Roman" w:eastAsia="Times New Roman" w:hAnsi="Times New Roman"/>
          <w:color w:val="000000"/>
          <w:sz w:val="24"/>
          <w:szCs w:val="24"/>
          <w:lang w:val="ru-RU" w:eastAsia="ru-RU"/>
        </w:rPr>
        <w:object w:dxaOrig="420" w:dyaOrig="400">
          <v:shape id="_x0000_i1040" type="#_x0000_t75" style="width:21.75pt;height:21.75pt" o:ole="">
            <v:imagedata r:id="rId34" o:title=""/>
          </v:shape>
          <o:OLEObject Type="Embed" ProgID="Equation.3" ShapeID="_x0000_i1040" DrawAspect="Content" ObjectID="_1410105326" r:id="rId35"/>
        </w:object>
      </w:r>
      <w:r w:rsidRPr="00482656">
        <w:rPr>
          <w:rFonts w:ascii="Times New Roman" w:hAnsi="Times New Roman"/>
          <w:color w:val="000000"/>
          <w:sz w:val="24"/>
          <w:szCs w:val="24"/>
          <w:lang w:val="ru-RU" w:eastAsia="ru-RU"/>
        </w:rPr>
        <w:t xml:space="preserve">, составляющие вторую часть критерия эффективности. </w:t>
      </w:r>
    </w:p>
    <w:p w:rsidR="0003622F" w:rsidRPr="00482656" w:rsidRDefault="0003622F" w:rsidP="00482656">
      <w:pPr>
        <w:spacing w:after="0" w:line="240" w:lineRule="auto"/>
        <w:ind w:firstLine="720"/>
        <w:jc w:val="both"/>
        <w:rPr>
          <w:rFonts w:ascii="Times New Roman" w:hAnsi="Times New Roman"/>
          <w:color w:val="000000"/>
          <w:sz w:val="24"/>
          <w:szCs w:val="24"/>
          <w:lang w:val="ru-RU" w:eastAsia="ru-RU"/>
        </w:rPr>
      </w:pPr>
      <w:r w:rsidRPr="00482656">
        <w:rPr>
          <w:rFonts w:ascii="Times New Roman" w:hAnsi="Times New Roman"/>
          <w:color w:val="000000"/>
          <w:sz w:val="24"/>
          <w:szCs w:val="24"/>
          <w:lang w:val="ru-RU" w:eastAsia="ru-RU"/>
        </w:rPr>
        <w:t>Для нового контейнерного те</w:t>
      </w:r>
      <w:r>
        <w:rPr>
          <w:rFonts w:ascii="Times New Roman" w:hAnsi="Times New Roman"/>
          <w:color w:val="000000"/>
          <w:sz w:val="24"/>
          <w:szCs w:val="24"/>
          <w:lang w:val="ru-RU" w:eastAsia="ru-RU"/>
        </w:rPr>
        <w:t>рминала значения критерия эффек</w:t>
      </w:r>
      <w:r w:rsidRPr="00482656">
        <w:rPr>
          <w:rFonts w:ascii="Times New Roman" w:hAnsi="Times New Roman"/>
          <w:color w:val="000000"/>
          <w:sz w:val="24"/>
          <w:szCs w:val="24"/>
          <w:lang w:val="ru-RU" w:eastAsia="ru-RU"/>
        </w:rPr>
        <w:t>тивности при выборе условно-оптимальных переходов на первом шаге определяются следующим образом:</w:t>
      </w:r>
    </w:p>
    <w:p w:rsidR="0003622F" w:rsidRPr="00482656" w:rsidRDefault="0003622F" w:rsidP="00482656">
      <w:pPr>
        <w:ind w:firstLine="720"/>
        <w:jc w:val="both"/>
        <w:rPr>
          <w:rFonts w:ascii="Times New Roman" w:hAnsi="Times New Roman"/>
          <w:sz w:val="24"/>
          <w:szCs w:val="24"/>
          <w:lang w:val="ru-RU"/>
        </w:rPr>
      </w:pPr>
    </w:p>
    <w:p w:rsidR="0003622F" w:rsidRPr="00482656" w:rsidRDefault="0003622F" w:rsidP="00482656">
      <w:pPr>
        <w:tabs>
          <w:tab w:val="left" w:pos="8600"/>
        </w:tabs>
        <w:ind w:hanging="23"/>
        <w:rPr>
          <w:rFonts w:ascii="Times New Roman" w:hAnsi="Times New Roman"/>
          <w:sz w:val="24"/>
          <w:szCs w:val="24"/>
        </w:rPr>
      </w:pPr>
      <w:r>
        <w:rPr>
          <w:noProof/>
          <w:lang w:val="ru-RU" w:eastAsia="ru-RU"/>
        </w:rPr>
        <w:pict>
          <v:shapetype id="_x0000_t202" coordsize="21600,21600" o:spt="202" path="m,l,21600r21600,l21600,xe">
            <v:stroke joinstyle="miter"/>
            <v:path gradientshapeok="t" o:connecttype="rect"/>
          </v:shapetype>
          <v:shape id="_x0000_s1026" type="#_x0000_t202" style="position:absolute;margin-left:459pt;margin-top:151.55pt;width:27pt;height:27pt;z-index:251658752" filled="f" stroked="f">
            <v:textbox>
              <w:txbxContent>
                <w:p w:rsidR="0003622F" w:rsidRPr="006D0291" w:rsidRDefault="0003622F" w:rsidP="006D0291">
                  <w:pPr>
                    <w:rPr>
                      <w:rFonts w:ascii="Times New Roman" w:hAnsi="Times New Roman"/>
                      <w:sz w:val="28"/>
                      <w:szCs w:val="28"/>
                      <w:lang w:val="ru-RU"/>
                    </w:rPr>
                  </w:pPr>
                  <w:r w:rsidRPr="006D0291">
                    <w:rPr>
                      <w:rFonts w:ascii="Times New Roman" w:hAnsi="Times New Roman"/>
                      <w:sz w:val="28"/>
                      <w:szCs w:val="28"/>
                      <w:lang w:val="ru-RU"/>
                    </w:rPr>
                    <w:t>4</w:t>
                  </w:r>
                </w:p>
              </w:txbxContent>
            </v:textbox>
          </v:shape>
        </w:pict>
      </w:r>
      <w:r>
        <w:rPr>
          <w:noProof/>
          <w:lang w:val="ru-RU" w:eastAsia="ru-RU"/>
        </w:rPr>
        <w:pict>
          <v:shape id="Поле 12" o:spid="_x0000_s1027" type="#_x0000_t202" style="position:absolute;margin-left:419.9pt;margin-top:148.55pt;width:60.1pt;height:2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V8aAIAALIEAAAOAAAAZHJzL2Uyb0RvYy54bWysVEtu2zAQ3RfoHQjuG/mTOKkQOXATuChg&#10;JAGSImuaomKhFIclaUvuZXqKrAr0DD5SH2k7cdOuinpBDzmPM3wzb3R+0TWarZTzNZmC9496nCkj&#10;qazNY8E/30/fnXHmgzCl0GRUwdfK84vx2zfnrc3VgBakS+UYghift7bgixBsnmVeLlQj/BFZZeCs&#10;yDUiYOses9KJFtEbnQ16vVHWkiutI6m8x+nV1snHKX5VKRluqsqrwHTB8baQVpfWeVyz8bnIH52w&#10;i1runiH+4RWNqA2SPoe6EkGwpav/CNXU0pGnKhxJajKqqlqqxAFs+r1XbO4WwqrEBcXx9rlM/v+F&#10;lderW8fqEr0bcGZEgx5tvm9+bn5snhiOUJ/W+hywOwtg6D5QB2zi6u2M5BcPSHaA2V7wQMd6dJVr&#10;4j+YMlxEC9bPZVddYBKHp6Ph4BQeCddwdDbspbZkL5et8+GjooZFo+AOXU0PEKuZDzG9yPeQmMuT&#10;rstprXXarP2ldmwlIADopqSWMy18wGHBp+kXSSLEb9e0YW3BR8OTXspkKMbb4rSJcVUS1y5/pL9l&#10;HK3QzTtAozmnco2yOdoKz1s5rcFhhgfcCgelgTamJ9xgqTQhJe0szhbkvv3tPOIhAHg5a6Hcgvuv&#10;S+EUeH0ykMb7/vFxlHraHJ+cDrBxh575occsm0tCbfqYUyuTGfFB783KUfOAIZvErHAJI5G74GFv&#10;XobtPGFIpZpMEgjitiLMzJ2Ve7XEDt13D8LZXRsD+n9Ne42L/FU3t9hYakOTZaCqTq1+qepOdhiM&#10;1L7dEMfJO9wn1MunZvwLAAD//wMAUEsDBBQABgAIAAAAIQACwlWO4QAAAAsBAAAPAAAAZHJzL2Rv&#10;d25yZXYueG1sTI8xT8MwFIR3JP6D9ZDYqJOGlibEqaCiE0sxIBidxMQR9nMUO23497xOMJ7udPdd&#10;uZ2dZUc9ht6jgHSRANPY+LbHTsDb6/5mAyxEha2yHrWAHx1gW11elKpo/Qlf9FHGjlEJhkIJMDEO&#10;BeehMdqpsPCDRvK+/OhUJDl2vB3Vicqd5cskWXOneqQFowa9M7r5lpMT8G4+pUzr7Mk+HrKP/eFZ&#10;+ttpJ8T11fxwDyzqOf6F4YxP6FARU+0nbAOzAjZZTuhRwDK/S4FRIl8n9K4WkK1WKfCq5P8/VL8A&#10;AAD//wMAUEsBAi0AFAAGAAgAAAAhALaDOJL+AAAA4QEAABMAAAAAAAAAAAAAAAAAAAAAAFtDb250&#10;ZW50X1R5cGVzXS54bWxQSwECLQAUAAYACAAAACEAOP0h/9YAAACUAQAACwAAAAAAAAAAAAAAAAAv&#10;AQAAX3JlbHMvLnJlbHNQSwECLQAUAAYACAAAACEAobIFfGgCAACyBAAADgAAAAAAAAAAAAAAAAAu&#10;AgAAZHJzL2Uyb0RvYy54bWxQSwECLQAUAAYACAAAACEAAsJVjuEAAAALAQAADwAAAAAAAAAAAAAA&#10;AADCBAAAZHJzL2Rvd25yZXYueG1sUEsFBgAAAAAEAAQA8wAAANAFAAAAAA==&#10;" fillcolor="window" stroked="f" strokeweight=".5pt">
            <v:path arrowok="t"/>
            <v:textbox>
              <w:txbxContent>
                <w:p w:rsidR="0003622F" w:rsidRPr="0008709E" w:rsidRDefault="0003622F" w:rsidP="00482656">
                  <w:pPr>
                    <w:ind w:right="77"/>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ru-RU"/>
                    </w:rPr>
                    <w:t>4</w:t>
                  </w:r>
                  <w:r w:rsidRPr="0008709E">
                    <w:rPr>
                      <w:rFonts w:ascii="Times New Roman" w:hAnsi="Times New Roman"/>
                      <w:sz w:val="28"/>
                      <w:szCs w:val="28"/>
                    </w:rPr>
                    <w:t>)</w:t>
                  </w:r>
                </w:p>
              </w:txbxContent>
            </v:textbox>
          </v:shape>
        </w:pict>
      </w:r>
      <w:r>
        <w:rPr>
          <w:noProof/>
          <w:lang w:val="ru-RU"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8" type="#_x0000_t88" style="position:absolute;margin-left:326.35pt;margin-top:0;width:4.95pt;height:3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zPtAIAAE8FAAAOAAAAZHJzL2Uyb0RvYy54bWysVF2O0zAQfkfiDpbfu0m6abeNNl0t/UFI&#10;C6y0cAA3dpqAYwfbbbqLkEDwzhG4wgIvCAnOkN6IsZOWln1BiERybM/k83wz3/j0bF1wtGJK51LE&#10;ODjyMWIikTQXixg/fzbrDDDShghKuBQsxtdM47PR/XunVRmxrswkp0whABE6qsoYZ8aUkefpJGMF&#10;0UeyZAKMqVQFMbBUC48qUgF6wb2u7/e9SipaKpkwrWF30hjxyOGnKUvM0zTVzCAeY4jNuFG5cW5H&#10;b3RKooUiZZYnbRjkH6IoSC7g0B3UhBiCliq/A1XkiZJapuYokYUn0zRPmOMAbAL/DzZXGSmZ4wLJ&#10;0eUuTfr/wSZPVpcK5RRqh5EgBZSo/rR5W9/WX+rbzUe0+VB/q79u3sPWj2bjXf29/ll/hvEWBTZ/&#10;VakjgLkqL5XNgC4vZPJSg8E7sNiFBh80rx5LCueQpZEuZ+tUFfZPyAZau9Jc70rD1gYlsNnvDvo9&#10;jBKwhMHg+HjgSueRaPtzqbR5yGSB7CTGKl9k5oEiic0ficjqQhtXH9qyJPQFME4LDuVeEY56vRDe&#10;Vg97Tt0DJ7/v960PHNxCwmx7tMUXcpZz7lTFBapiPOx1ey4ELXlOrdG6abWYj7lCcDJQdU8Le+Cm&#10;5FJQB5YxQqft3JCcN3M4nAuLB2lqCdqEOeG9HvrD6WA6CDthtz/thP5k0jmfjcNOfxac9CbHk/F4&#10;EryxoQVhlOWUMmGj2zZBEP6dyNp2bOS7a4MDFgdkZ+65S9Y7DMOlGLhsv46dE5TVUCO6uaTXoCcl&#10;m66GWwgmmVQ3GFXQ0THWr5ZEMYz4IwEtMwzC0F4BbhH2TrqwUPuW+b6FiASgYmwwaqZj01wby9Jp&#10;yzZMU/Bz0HGam63gm6ha9UPXOgbtDWOvhf218/p9D45+AQAA//8DAFBLAwQUAAYACAAAACEA3+OQ&#10;Q90AAAAIAQAADwAAAGRycy9kb3ducmV2LnhtbEyPwU7DMBBE70j8g7VI3KhDoCaEOFVBwKEcEA0f&#10;4CZLHIjXUeym6d+zPcFxZ0azb4rV7Hox4Rg6TxquFwkIpNo3HbUaPquXqwxEiIYa03tCDUcMsCrP&#10;zwqTN/5AHzhtYyu4hEJuNNgYh1zKUFt0Jiz8gMTelx+diXyOrWxGc+By18s0SZR0piP+YM2ATxbr&#10;n+3eaXh7f7wJ62l53NyqZ/sdsvS+ql61vryY1w8gIs7xLwwnfEaHkpl2fk9NEL0GtUzvOKqBF7Gt&#10;VKpA7E56loEsC/l/QPkLAAD//wMAUEsBAi0AFAAGAAgAAAAhALaDOJL+AAAA4QEAABMAAAAAAAAA&#10;AAAAAAAAAAAAAFtDb250ZW50X1R5cGVzXS54bWxQSwECLQAUAAYACAAAACEAOP0h/9YAAACUAQAA&#10;CwAAAAAAAAAAAAAAAAAvAQAAX3JlbHMvLnJlbHNQSwECLQAUAAYACAAAACEAssZsz7QCAABPBQAA&#10;DgAAAAAAAAAAAAAAAAAuAgAAZHJzL2Uyb0RvYy54bWxQSwECLQAUAAYACAAAACEA3+OQQ90AAAAI&#10;AQAADwAAAAAAAAAAAAAAAAAOBQAAZHJzL2Rvd25yZXYueG1sUEsFBgAAAAAEAAQA8wAAABgGAAAA&#10;AA==&#10;" adj=",10931"/>
        </w:pict>
      </w:r>
      <w:r w:rsidRPr="00482656">
        <w:rPr>
          <w:rFonts w:ascii="Times New Roman" w:hAnsi="Times New Roman"/>
          <w:position w:val="-172"/>
          <w:sz w:val="24"/>
          <w:szCs w:val="24"/>
        </w:rPr>
        <w:object w:dxaOrig="4420" w:dyaOrig="3800">
          <v:shape id="_x0000_i1041" type="#_x0000_t75" style="width:216.75pt;height:184.5pt" o:ole="">
            <v:imagedata r:id="rId36" o:title=""/>
          </v:shape>
          <o:OLEObject Type="Embed" ProgID="Equation.3" ShapeID="_x0000_i1041" DrawAspect="Content" ObjectID="_1410105327" r:id="rId37"/>
        </w:object>
      </w:r>
      <w:r w:rsidRPr="00482656">
        <w:rPr>
          <w:rFonts w:ascii="Times New Roman" w:hAnsi="Times New Roman"/>
          <w:sz w:val="24"/>
          <w:szCs w:val="24"/>
        </w:rPr>
        <w:t xml:space="preserve">        </w:t>
      </w:r>
    </w:p>
    <w:p w:rsidR="0003622F" w:rsidRPr="00482656" w:rsidRDefault="0003622F" w:rsidP="00482656">
      <w:pPr>
        <w:jc w:val="both"/>
        <w:rPr>
          <w:rFonts w:ascii="Times New Roman" w:hAnsi="Times New Roman"/>
          <w:sz w:val="24"/>
          <w:szCs w:val="24"/>
        </w:rPr>
      </w:pPr>
    </w:p>
    <w:p w:rsidR="0003622F" w:rsidRPr="00482656" w:rsidRDefault="0003622F" w:rsidP="00482656">
      <w:pPr>
        <w:jc w:val="both"/>
        <w:rPr>
          <w:rFonts w:ascii="Times New Roman" w:hAnsi="Times New Roman"/>
          <w:sz w:val="24"/>
          <w:szCs w:val="24"/>
        </w:rPr>
      </w:pPr>
      <w:r w:rsidRPr="00482656">
        <w:rPr>
          <w:rFonts w:ascii="Times New Roman" w:hAnsi="Times New Roman"/>
          <w:position w:val="-118"/>
          <w:sz w:val="24"/>
          <w:szCs w:val="24"/>
        </w:rPr>
        <w:object w:dxaOrig="4480" w:dyaOrig="2480">
          <v:shape id="_x0000_i1042" type="#_x0000_t75" style="width:215.25pt;height:119.25pt" o:ole="">
            <v:imagedata r:id="rId38" o:title=""/>
          </v:shape>
          <o:OLEObject Type="Embed" ProgID="Equation.3" ShapeID="_x0000_i1042" DrawAspect="Content" ObjectID="_1410105328" r:id="rId39"/>
        </w:object>
      </w:r>
    </w:p>
    <w:p w:rsidR="0003622F" w:rsidRPr="00482656" w:rsidRDefault="0003622F" w:rsidP="00482656">
      <w:pPr>
        <w:spacing w:after="0" w:line="240" w:lineRule="auto"/>
        <w:jc w:val="both"/>
        <w:rPr>
          <w:rFonts w:ascii="Times New Roman" w:hAnsi="Times New Roman"/>
          <w:sz w:val="24"/>
          <w:szCs w:val="24"/>
          <w:lang w:val="ru-RU"/>
        </w:rPr>
      </w:pPr>
      <w:r w:rsidRPr="00482656">
        <w:rPr>
          <w:rFonts w:ascii="Times New Roman" w:hAnsi="Times New Roman"/>
          <w:sz w:val="24"/>
          <w:szCs w:val="24"/>
          <w:lang w:val="ru-RU"/>
        </w:rPr>
        <w:t xml:space="preserve">где </w:t>
      </w:r>
      <w:r w:rsidRPr="00482656">
        <w:rPr>
          <w:rFonts w:ascii="Times New Roman" w:hAnsi="Times New Roman"/>
          <w:position w:val="-14"/>
          <w:sz w:val="24"/>
          <w:szCs w:val="24"/>
        </w:rPr>
        <w:object w:dxaOrig="499" w:dyaOrig="400">
          <v:shape id="_x0000_i1043" type="#_x0000_t75" style="width:32.25pt;height:25.5pt" o:ole="">
            <v:imagedata r:id="rId40" o:title=""/>
          </v:shape>
          <o:OLEObject Type="Embed" ProgID="Equation.3" ShapeID="_x0000_i1043" DrawAspect="Content" ObjectID="_1410105329" r:id="rId41"/>
        </w:object>
      </w:r>
      <w:r w:rsidRPr="00482656">
        <w:rPr>
          <w:rFonts w:ascii="Times New Roman" w:hAnsi="Times New Roman"/>
          <w:sz w:val="24"/>
          <w:szCs w:val="24"/>
          <w:lang w:val="ru-RU"/>
        </w:rPr>
        <w:t xml:space="preserve">, </w:t>
      </w:r>
      <w:r w:rsidRPr="00482656">
        <w:rPr>
          <w:rFonts w:ascii="Times New Roman" w:hAnsi="Times New Roman"/>
          <w:position w:val="-14"/>
          <w:sz w:val="24"/>
          <w:szCs w:val="24"/>
        </w:rPr>
        <w:object w:dxaOrig="499" w:dyaOrig="400">
          <v:shape id="_x0000_i1044" type="#_x0000_t75" style="width:32.25pt;height:25.5pt" o:ole="">
            <v:imagedata r:id="rId42" o:title=""/>
          </v:shape>
          <o:OLEObject Type="Embed" ProgID="Equation.3" ShapeID="_x0000_i1044" DrawAspect="Content" ObjectID="_1410105330" r:id="rId43"/>
        </w:object>
      </w:r>
      <w:r w:rsidRPr="00482656">
        <w:rPr>
          <w:rFonts w:ascii="Times New Roman" w:hAnsi="Times New Roman"/>
          <w:sz w:val="24"/>
          <w:szCs w:val="24"/>
          <w:lang w:val="ru-RU"/>
        </w:rPr>
        <w:t xml:space="preserve">, …, </w:t>
      </w:r>
      <w:r w:rsidRPr="00482656">
        <w:rPr>
          <w:rFonts w:ascii="Times New Roman" w:hAnsi="Times New Roman"/>
          <w:position w:val="-14"/>
          <w:sz w:val="24"/>
          <w:szCs w:val="24"/>
        </w:rPr>
        <w:object w:dxaOrig="499" w:dyaOrig="400">
          <v:shape id="_x0000_i1045" type="#_x0000_t75" style="width:32.25pt;height:25.5pt" o:ole="">
            <v:imagedata r:id="rId44" o:title=""/>
          </v:shape>
          <o:OLEObject Type="Embed" ProgID="Equation.3" ShapeID="_x0000_i1045" DrawAspect="Content" ObjectID="_1410105331" r:id="rId45"/>
        </w:object>
      </w:r>
      <w:r w:rsidRPr="00482656">
        <w:rPr>
          <w:rFonts w:ascii="Times New Roman" w:hAnsi="Times New Roman"/>
          <w:sz w:val="24"/>
          <w:szCs w:val="24"/>
          <w:lang w:val="ru-RU"/>
        </w:rPr>
        <w:t xml:space="preserve">, …, </w:t>
      </w:r>
      <w:r w:rsidRPr="00482656">
        <w:rPr>
          <w:rFonts w:ascii="Times New Roman" w:hAnsi="Times New Roman"/>
          <w:position w:val="-14"/>
          <w:sz w:val="24"/>
          <w:szCs w:val="24"/>
        </w:rPr>
        <w:object w:dxaOrig="499" w:dyaOrig="400">
          <v:shape id="_x0000_i1046" type="#_x0000_t75" style="width:32.25pt;height:25.5pt" o:ole="">
            <v:imagedata r:id="rId46" o:title=""/>
          </v:shape>
          <o:OLEObject Type="Embed" ProgID="Equation.3" ShapeID="_x0000_i1046" DrawAspect="Content" ObjectID="_1410105332" r:id="rId47"/>
        </w:object>
      </w:r>
      <w:r w:rsidRPr="00482656">
        <w:rPr>
          <w:rFonts w:ascii="Times New Roman" w:hAnsi="Times New Roman"/>
          <w:sz w:val="24"/>
          <w:szCs w:val="24"/>
          <w:lang w:val="ru-RU"/>
        </w:rPr>
        <w:t>– минимальные значения приведённых расходов в конце первого шага оптимизации, соответствующие вариантам технического состояния в конце</w:t>
      </w:r>
      <w:r>
        <w:rPr>
          <w:rFonts w:ascii="Times New Roman" w:hAnsi="Times New Roman"/>
          <w:sz w:val="24"/>
          <w:szCs w:val="24"/>
          <w:lang w:val="ru-RU"/>
        </w:rPr>
        <w:t xml:space="preserve"> </w:t>
      </w:r>
      <w:r w:rsidRPr="00482656">
        <w:rPr>
          <w:rFonts w:ascii="Times New Roman" w:hAnsi="Times New Roman"/>
          <w:sz w:val="24"/>
          <w:szCs w:val="24"/>
          <w:lang w:val="ru-RU"/>
        </w:rPr>
        <w:t xml:space="preserve">шага </w:t>
      </w:r>
      <w:r w:rsidRPr="00482656">
        <w:rPr>
          <w:rFonts w:ascii="Times New Roman" w:hAnsi="Times New Roman"/>
          <w:i/>
          <w:sz w:val="24"/>
          <w:szCs w:val="24"/>
        </w:rPr>
        <w:t>S</w:t>
      </w:r>
      <w:r w:rsidRPr="00482656">
        <w:rPr>
          <w:rFonts w:ascii="Times New Roman" w:hAnsi="Times New Roman"/>
          <w:i/>
          <w:sz w:val="24"/>
          <w:szCs w:val="24"/>
          <w:vertAlign w:val="subscript"/>
          <w:lang w:val="ru-RU"/>
        </w:rPr>
        <w:t>1,1</w:t>
      </w:r>
      <w:r w:rsidRPr="00482656">
        <w:rPr>
          <w:rFonts w:ascii="Times New Roman" w:hAnsi="Times New Roman"/>
          <w:i/>
          <w:sz w:val="24"/>
          <w:szCs w:val="24"/>
          <w:lang w:val="ru-RU"/>
        </w:rPr>
        <w:t xml:space="preserve">, </w:t>
      </w:r>
      <w:r w:rsidRPr="00482656">
        <w:rPr>
          <w:rFonts w:ascii="Times New Roman" w:hAnsi="Times New Roman"/>
          <w:i/>
          <w:sz w:val="24"/>
          <w:szCs w:val="24"/>
        </w:rPr>
        <w:t>S</w:t>
      </w:r>
      <w:r w:rsidRPr="00482656">
        <w:rPr>
          <w:rFonts w:ascii="Times New Roman" w:hAnsi="Times New Roman"/>
          <w:i/>
          <w:sz w:val="24"/>
          <w:szCs w:val="24"/>
          <w:vertAlign w:val="subscript"/>
          <w:lang w:val="ru-RU"/>
        </w:rPr>
        <w:t xml:space="preserve">1,2, </w:t>
      </w:r>
      <w:r w:rsidRPr="00482656">
        <w:rPr>
          <w:rFonts w:ascii="Times New Roman" w:hAnsi="Times New Roman"/>
          <w:i/>
          <w:sz w:val="24"/>
          <w:szCs w:val="24"/>
          <w:lang w:val="ru-RU"/>
        </w:rPr>
        <w:t xml:space="preserve">…, </w:t>
      </w:r>
      <w:r w:rsidRPr="00482656">
        <w:rPr>
          <w:rFonts w:ascii="Times New Roman" w:hAnsi="Times New Roman"/>
          <w:i/>
          <w:sz w:val="24"/>
          <w:szCs w:val="24"/>
        </w:rPr>
        <w:t>S</w:t>
      </w:r>
      <w:r w:rsidRPr="00482656">
        <w:rPr>
          <w:rFonts w:ascii="Times New Roman" w:hAnsi="Times New Roman"/>
          <w:i/>
          <w:sz w:val="24"/>
          <w:szCs w:val="24"/>
          <w:vertAlign w:val="subscript"/>
          <w:lang w:val="ru-RU"/>
        </w:rPr>
        <w:t>1,</w:t>
      </w:r>
      <w:r w:rsidRPr="00482656">
        <w:rPr>
          <w:rFonts w:ascii="Times New Roman" w:hAnsi="Times New Roman"/>
          <w:i/>
          <w:sz w:val="24"/>
          <w:szCs w:val="24"/>
          <w:vertAlign w:val="subscript"/>
        </w:rPr>
        <w:t>j</w:t>
      </w:r>
      <w:r w:rsidRPr="00482656">
        <w:rPr>
          <w:rFonts w:ascii="Times New Roman" w:hAnsi="Times New Roman"/>
          <w:i/>
          <w:sz w:val="24"/>
          <w:szCs w:val="24"/>
          <w:lang w:val="ru-RU"/>
        </w:rPr>
        <w:t xml:space="preserve">, …, </w:t>
      </w:r>
      <w:r w:rsidRPr="00482656">
        <w:rPr>
          <w:rFonts w:ascii="Times New Roman" w:hAnsi="Times New Roman"/>
          <w:i/>
          <w:sz w:val="24"/>
          <w:szCs w:val="24"/>
        </w:rPr>
        <w:t>S</w:t>
      </w:r>
      <w:r w:rsidRPr="00482656">
        <w:rPr>
          <w:rFonts w:ascii="Times New Roman" w:hAnsi="Times New Roman"/>
          <w:i/>
          <w:sz w:val="24"/>
          <w:szCs w:val="24"/>
          <w:vertAlign w:val="subscript"/>
          <w:lang w:val="ru-RU"/>
        </w:rPr>
        <w:t>1,</w:t>
      </w:r>
      <w:r w:rsidRPr="00482656">
        <w:rPr>
          <w:rFonts w:ascii="Times New Roman" w:hAnsi="Times New Roman"/>
          <w:i/>
          <w:sz w:val="24"/>
          <w:szCs w:val="24"/>
          <w:vertAlign w:val="subscript"/>
        </w:rPr>
        <w:t>n</w:t>
      </w:r>
      <w:r w:rsidRPr="00482656">
        <w:rPr>
          <w:rFonts w:ascii="Times New Roman" w:hAnsi="Times New Roman"/>
          <w:i/>
          <w:sz w:val="24"/>
          <w:szCs w:val="24"/>
          <w:lang w:val="ru-RU"/>
        </w:rPr>
        <w:t>;</w:t>
      </w:r>
      <w:r w:rsidRPr="00482656">
        <w:rPr>
          <w:rFonts w:ascii="Times New Roman" w:hAnsi="Times New Roman"/>
          <w:sz w:val="24"/>
          <w:szCs w:val="24"/>
          <w:lang w:val="ru-RU"/>
        </w:rPr>
        <w:t xml:space="preserve"> </w:t>
      </w:r>
      <w:r w:rsidRPr="00482656">
        <w:rPr>
          <w:rFonts w:ascii="Times New Roman" w:hAnsi="Times New Roman"/>
          <w:i/>
          <w:sz w:val="24"/>
          <w:szCs w:val="24"/>
          <w:lang w:val="ru-RU"/>
        </w:rPr>
        <w:t>К</w:t>
      </w:r>
      <w:r w:rsidRPr="00482656">
        <w:rPr>
          <w:rFonts w:ascii="Times New Roman" w:hAnsi="Times New Roman"/>
          <w:i/>
          <w:sz w:val="24"/>
          <w:szCs w:val="24"/>
          <w:vertAlign w:val="subscript"/>
          <w:lang w:val="ru-RU"/>
        </w:rPr>
        <w:t>1</w:t>
      </w:r>
      <w:r w:rsidRPr="00482656">
        <w:rPr>
          <w:rFonts w:ascii="Times New Roman" w:hAnsi="Times New Roman"/>
          <w:i/>
          <w:sz w:val="24"/>
          <w:szCs w:val="24"/>
          <w:lang w:val="ru-RU"/>
        </w:rPr>
        <w:t>, К</w:t>
      </w:r>
      <w:r w:rsidRPr="00482656">
        <w:rPr>
          <w:rFonts w:ascii="Times New Roman" w:hAnsi="Times New Roman"/>
          <w:i/>
          <w:sz w:val="24"/>
          <w:szCs w:val="24"/>
          <w:vertAlign w:val="subscript"/>
          <w:lang w:val="ru-RU"/>
        </w:rPr>
        <w:t>2</w:t>
      </w:r>
      <w:r w:rsidRPr="00482656">
        <w:rPr>
          <w:rFonts w:ascii="Times New Roman" w:hAnsi="Times New Roman"/>
          <w:i/>
          <w:sz w:val="24"/>
          <w:szCs w:val="24"/>
          <w:lang w:val="ru-RU"/>
        </w:rPr>
        <w:t xml:space="preserve">, .., </w:t>
      </w:r>
      <w:r w:rsidRPr="00482656">
        <w:rPr>
          <w:rFonts w:ascii="Times New Roman" w:hAnsi="Times New Roman"/>
          <w:i/>
          <w:sz w:val="24"/>
          <w:szCs w:val="24"/>
        </w:rPr>
        <w:t>K</w:t>
      </w:r>
      <w:r w:rsidRPr="00482656">
        <w:rPr>
          <w:rFonts w:ascii="Times New Roman" w:hAnsi="Times New Roman"/>
          <w:i/>
          <w:sz w:val="24"/>
          <w:szCs w:val="24"/>
          <w:vertAlign w:val="subscript"/>
        </w:rPr>
        <w:t>j</w:t>
      </w:r>
      <w:r w:rsidRPr="00482656">
        <w:rPr>
          <w:rFonts w:ascii="Times New Roman" w:hAnsi="Times New Roman"/>
          <w:i/>
          <w:sz w:val="24"/>
          <w:szCs w:val="24"/>
          <w:vertAlign w:val="subscript"/>
          <w:lang w:val="ru-RU"/>
        </w:rPr>
        <w:t>,</w:t>
      </w:r>
      <w:r w:rsidRPr="00482656">
        <w:rPr>
          <w:rFonts w:ascii="Times New Roman" w:hAnsi="Times New Roman"/>
          <w:i/>
          <w:sz w:val="24"/>
          <w:szCs w:val="24"/>
          <w:lang w:val="ru-RU"/>
        </w:rPr>
        <w:t xml:space="preserve"> …, К</w:t>
      </w:r>
      <w:r w:rsidRPr="00482656">
        <w:rPr>
          <w:rFonts w:ascii="Times New Roman" w:hAnsi="Times New Roman"/>
          <w:i/>
          <w:sz w:val="24"/>
          <w:szCs w:val="24"/>
        </w:rPr>
        <w:t>n</w:t>
      </w:r>
      <w:r w:rsidRPr="00482656">
        <w:rPr>
          <w:rFonts w:ascii="Times New Roman" w:hAnsi="Times New Roman"/>
          <w:sz w:val="24"/>
          <w:szCs w:val="24"/>
          <w:lang w:val="ru-RU"/>
        </w:rPr>
        <w:t xml:space="preserve"> – исходные капиталовложения, т.е. капитальные затраты, необходимые для развития станции к началу расчётного периода по вариантам </w:t>
      </w:r>
      <w:r w:rsidRPr="00482656">
        <w:rPr>
          <w:rFonts w:ascii="Times New Roman" w:hAnsi="Times New Roman"/>
          <w:i/>
          <w:sz w:val="24"/>
          <w:szCs w:val="24"/>
        </w:rPr>
        <w:t>S</w:t>
      </w:r>
      <w:r w:rsidRPr="00482656">
        <w:rPr>
          <w:rFonts w:ascii="Times New Roman" w:hAnsi="Times New Roman"/>
          <w:i/>
          <w:sz w:val="24"/>
          <w:szCs w:val="24"/>
          <w:vertAlign w:val="subscript"/>
          <w:lang w:val="ru-RU"/>
        </w:rPr>
        <w:t>1</w:t>
      </w:r>
      <w:r w:rsidRPr="00482656">
        <w:rPr>
          <w:rFonts w:ascii="Times New Roman" w:hAnsi="Times New Roman"/>
          <w:i/>
          <w:sz w:val="24"/>
          <w:szCs w:val="24"/>
          <w:lang w:val="ru-RU"/>
        </w:rPr>
        <w:t xml:space="preserve">, </w:t>
      </w:r>
      <w:r w:rsidRPr="00482656">
        <w:rPr>
          <w:rFonts w:ascii="Times New Roman" w:hAnsi="Times New Roman"/>
          <w:i/>
          <w:sz w:val="24"/>
          <w:szCs w:val="24"/>
        </w:rPr>
        <w:t>S</w:t>
      </w:r>
      <w:r w:rsidRPr="00482656">
        <w:rPr>
          <w:rFonts w:ascii="Times New Roman" w:hAnsi="Times New Roman"/>
          <w:i/>
          <w:sz w:val="24"/>
          <w:szCs w:val="24"/>
          <w:vertAlign w:val="subscript"/>
          <w:lang w:val="ru-RU"/>
        </w:rPr>
        <w:t>2</w:t>
      </w:r>
      <w:r w:rsidRPr="00482656">
        <w:rPr>
          <w:rFonts w:ascii="Times New Roman" w:hAnsi="Times New Roman"/>
          <w:i/>
          <w:sz w:val="24"/>
          <w:szCs w:val="24"/>
          <w:lang w:val="ru-RU"/>
        </w:rPr>
        <w:t xml:space="preserve">, . . . , </w:t>
      </w:r>
      <w:r w:rsidRPr="00482656">
        <w:rPr>
          <w:rFonts w:ascii="Times New Roman" w:hAnsi="Times New Roman"/>
          <w:i/>
          <w:sz w:val="24"/>
          <w:szCs w:val="24"/>
        </w:rPr>
        <w:t>S</w:t>
      </w:r>
      <w:r w:rsidRPr="00482656">
        <w:rPr>
          <w:rFonts w:ascii="Times New Roman" w:hAnsi="Times New Roman"/>
          <w:i/>
          <w:sz w:val="24"/>
          <w:szCs w:val="24"/>
          <w:vertAlign w:val="subscript"/>
        </w:rPr>
        <w:t>j</w:t>
      </w:r>
      <w:r w:rsidRPr="00482656">
        <w:rPr>
          <w:rFonts w:ascii="Times New Roman" w:hAnsi="Times New Roman"/>
          <w:i/>
          <w:sz w:val="24"/>
          <w:szCs w:val="24"/>
          <w:lang w:val="ru-RU"/>
        </w:rPr>
        <w:t xml:space="preserve">, …, </w:t>
      </w:r>
      <w:r w:rsidRPr="00482656">
        <w:rPr>
          <w:rFonts w:ascii="Times New Roman" w:hAnsi="Times New Roman"/>
          <w:i/>
          <w:sz w:val="24"/>
          <w:szCs w:val="24"/>
        </w:rPr>
        <w:t>Sn</w:t>
      </w:r>
      <w:r w:rsidRPr="00482656">
        <w:rPr>
          <w:rFonts w:ascii="Times New Roman" w:hAnsi="Times New Roman"/>
          <w:i/>
          <w:sz w:val="24"/>
          <w:szCs w:val="24"/>
          <w:lang w:val="ru-RU"/>
        </w:rPr>
        <w:t>.</w:t>
      </w:r>
    </w:p>
    <w:p w:rsidR="0003622F" w:rsidRPr="00482656" w:rsidRDefault="0003622F" w:rsidP="00482656">
      <w:pPr>
        <w:spacing w:after="0" w:line="240" w:lineRule="auto"/>
        <w:ind w:firstLine="567"/>
        <w:jc w:val="both"/>
        <w:rPr>
          <w:rFonts w:ascii="Times New Roman" w:hAnsi="Times New Roman"/>
          <w:sz w:val="24"/>
          <w:szCs w:val="24"/>
          <w:lang w:val="ru-RU"/>
        </w:rPr>
      </w:pPr>
      <w:r w:rsidRPr="00482656">
        <w:rPr>
          <w:rFonts w:ascii="Times New Roman" w:hAnsi="Times New Roman"/>
          <w:sz w:val="24"/>
          <w:szCs w:val="24"/>
          <w:lang w:val="ru-RU"/>
        </w:rPr>
        <w:t xml:space="preserve">Для поиска критерия эффективности и условно-оптимальных переходов используется алгоритм «киевский веник» – один из эффективных алгоритмов для решения аддитивных задач. Блок-схема алгоритма, которая описывает реализацию данной процедуры, завершающейся определением </w:t>
      </w:r>
      <w:r>
        <w:rPr>
          <w:rFonts w:ascii="Times New Roman" w:hAnsi="Times New Roman"/>
          <w:sz w:val="24"/>
          <w:szCs w:val="24"/>
          <w:lang w:val="ru-RU"/>
        </w:rPr>
        <w:t>рациональной</w:t>
      </w:r>
      <w:r w:rsidRPr="00482656">
        <w:rPr>
          <w:rFonts w:ascii="Times New Roman" w:hAnsi="Times New Roman"/>
          <w:sz w:val="24"/>
          <w:szCs w:val="24"/>
          <w:lang w:val="ru-RU"/>
        </w:rPr>
        <w:t xml:space="preserve"> этапности развития терминала и экономической эффективности проекта, представлена на рисунке 1.</w:t>
      </w:r>
    </w:p>
    <w:p w:rsidR="0003622F" w:rsidRPr="00482656" w:rsidRDefault="0003622F" w:rsidP="00482656">
      <w:pPr>
        <w:shd w:val="clear" w:color="auto" w:fill="FFFFFF"/>
        <w:ind w:right="10" w:hanging="23"/>
        <w:jc w:val="center"/>
        <w:rPr>
          <w:rFonts w:ascii="Times New Roman" w:hAnsi="Times New Roman"/>
          <w:sz w:val="24"/>
          <w:szCs w:val="24"/>
          <w:lang w:val="ru-RU"/>
        </w:rPr>
      </w:pPr>
      <w:r w:rsidRPr="00482656">
        <w:rPr>
          <w:rFonts w:ascii="Times New Roman" w:hAnsi="Times New Roman"/>
          <w:sz w:val="24"/>
          <w:szCs w:val="24"/>
        </w:rPr>
        <w:object w:dxaOrig="11357" w:dyaOrig="16752">
          <v:shape id="_x0000_i1047" type="#_x0000_t75" style="width:477pt;height:703.5pt" o:ole="">
            <v:imagedata r:id="rId48" o:title=""/>
          </v:shape>
          <o:OLEObject Type="Embed" ProgID="Visio.Drawing.11" ShapeID="_x0000_i1047" DrawAspect="Content" ObjectID="_1410105333" r:id="rId49"/>
        </w:object>
      </w:r>
      <w:r w:rsidRPr="00482656">
        <w:rPr>
          <w:rFonts w:ascii="Times New Roman" w:hAnsi="Times New Roman"/>
          <w:sz w:val="24"/>
          <w:szCs w:val="24"/>
          <w:lang w:val="ru-RU"/>
        </w:rPr>
        <w:t xml:space="preserve"> </w:t>
      </w:r>
    </w:p>
    <w:p w:rsidR="0003622F" w:rsidRDefault="0003622F" w:rsidP="00482656">
      <w:pPr>
        <w:shd w:val="clear" w:color="auto" w:fill="FFFFFF"/>
        <w:spacing w:after="0" w:line="240" w:lineRule="auto"/>
        <w:ind w:right="11" w:hanging="23"/>
        <w:jc w:val="center"/>
        <w:rPr>
          <w:rFonts w:ascii="Times New Roman" w:hAnsi="Times New Roman"/>
          <w:sz w:val="24"/>
          <w:szCs w:val="24"/>
          <w:lang w:val="ru-RU"/>
        </w:rPr>
      </w:pPr>
      <w:r>
        <w:rPr>
          <w:rFonts w:ascii="Times New Roman" w:hAnsi="Times New Roman"/>
          <w:sz w:val="24"/>
          <w:szCs w:val="24"/>
          <w:lang w:val="ru-RU"/>
        </w:rPr>
        <w:t>Рис.</w:t>
      </w:r>
      <w:r w:rsidRPr="00482656">
        <w:rPr>
          <w:rFonts w:ascii="Times New Roman" w:hAnsi="Times New Roman"/>
          <w:sz w:val="24"/>
          <w:szCs w:val="24"/>
          <w:lang w:val="ru-RU"/>
        </w:rPr>
        <w:t xml:space="preserve"> 1. Блок-схема алгоритма </w:t>
      </w:r>
      <w:r>
        <w:rPr>
          <w:rFonts w:ascii="Times New Roman" w:hAnsi="Times New Roman"/>
          <w:sz w:val="24"/>
          <w:szCs w:val="24"/>
          <w:lang w:val="ru-RU"/>
        </w:rPr>
        <w:t xml:space="preserve">рационализации </w:t>
      </w:r>
      <w:r w:rsidRPr="00482656">
        <w:rPr>
          <w:rFonts w:ascii="Times New Roman" w:hAnsi="Times New Roman"/>
          <w:sz w:val="24"/>
          <w:szCs w:val="24"/>
          <w:lang w:val="ru-RU"/>
        </w:rPr>
        <w:t xml:space="preserve">этапности развития </w:t>
      </w:r>
      <w:r>
        <w:rPr>
          <w:rFonts w:ascii="Times New Roman" w:hAnsi="Times New Roman"/>
          <w:sz w:val="24"/>
          <w:szCs w:val="24"/>
          <w:lang w:val="ru-RU"/>
        </w:rPr>
        <w:t xml:space="preserve">тылового </w:t>
      </w:r>
      <w:r w:rsidRPr="00482656">
        <w:rPr>
          <w:rFonts w:ascii="Times New Roman" w:hAnsi="Times New Roman"/>
          <w:sz w:val="24"/>
          <w:szCs w:val="24"/>
          <w:lang w:val="ru-RU"/>
        </w:rPr>
        <w:t xml:space="preserve">терминала </w:t>
      </w:r>
    </w:p>
    <w:p w:rsidR="0003622F" w:rsidRPr="00482656" w:rsidRDefault="0003622F" w:rsidP="00482656">
      <w:pPr>
        <w:shd w:val="clear" w:color="auto" w:fill="FFFFFF"/>
        <w:spacing w:after="0" w:line="240" w:lineRule="auto"/>
        <w:ind w:right="11" w:hanging="23"/>
        <w:jc w:val="center"/>
        <w:rPr>
          <w:rFonts w:ascii="Times New Roman" w:hAnsi="Times New Roman"/>
          <w:sz w:val="24"/>
          <w:szCs w:val="24"/>
          <w:lang w:val="ru-RU"/>
        </w:rPr>
      </w:pPr>
    </w:p>
    <w:p w:rsidR="0003622F" w:rsidRPr="00EB66A0" w:rsidRDefault="0003622F" w:rsidP="00482656">
      <w:pPr>
        <w:spacing w:after="0" w:line="240" w:lineRule="auto"/>
        <w:jc w:val="both"/>
        <w:rPr>
          <w:rFonts w:ascii="Times New Roman" w:hAnsi="Times New Roman"/>
          <w:sz w:val="24"/>
          <w:szCs w:val="24"/>
          <w:lang w:val="ru-RU"/>
        </w:rPr>
      </w:pPr>
      <w:r>
        <w:rPr>
          <w:rFonts w:ascii="Times New Roman" w:hAnsi="Times New Roman"/>
          <w:sz w:val="24"/>
          <w:szCs w:val="24"/>
          <w:lang w:val="ru-RU"/>
        </w:rPr>
        <w:t>4.ЗАКЛЮЧЕНИЕ</w:t>
      </w:r>
    </w:p>
    <w:p w:rsidR="0003622F" w:rsidRDefault="0003622F" w:rsidP="00C55A13">
      <w:pPr>
        <w:spacing w:after="0" w:line="240" w:lineRule="auto"/>
        <w:ind w:firstLine="709"/>
        <w:jc w:val="both"/>
        <w:rPr>
          <w:rFonts w:ascii="Times New Roman" w:hAnsi="Times New Roman"/>
          <w:sz w:val="24"/>
          <w:szCs w:val="24"/>
          <w:lang w:val="ru-RU"/>
        </w:rPr>
      </w:pPr>
      <w:r w:rsidRPr="00C55A13">
        <w:rPr>
          <w:rFonts w:ascii="Times New Roman" w:hAnsi="Times New Roman"/>
          <w:sz w:val="24"/>
          <w:szCs w:val="24"/>
          <w:lang w:val="ru-RU"/>
        </w:rPr>
        <w:t xml:space="preserve">В условиях устойчивого роста </w:t>
      </w:r>
      <w:r>
        <w:rPr>
          <w:rFonts w:ascii="Times New Roman" w:hAnsi="Times New Roman"/>
          <w:sz w:val="24"/>
          <w:szCs w:val="24"/>
          <w:lang w:val="ru-RU"/>
        </w:rPr>
        <w:t>товарооборота</w:t>
      </w:r>
      <w:r w:rsidRPr="00C55A13">
        <w:rPr>
          <w:rFonts w:ascii="Times New Roman" w:hAnsi="Times New Roman"/>
          <w:sz w:val="24"/>
          <w:szCs w:val="24"/>
          <w:lang w:val="ru-RU"/>
        </w:rPr>
        <w:t xml:space="preserve"> в с</w:t>
      </w:r>
      <w:r>
        <w:rPr>
          <w:rFonts w:ascii="Times New Roman" w:hAnsi="Times New Roman"/>
          <w:sz w:val="24"/>
          <w:szCs w:val="24"/>
          <w:lang w:val="ru-RU"/>
        </w:rPr>
        <w:t>вязи с вступлением страны в ВТО</w:t>
      </w:r>
      <w:r w:rsidRPr="00C55A13">
        <w:rPr>
          <w:rFonts w:ascii="Times New Roman" w:hAnsi="Times New Roman"/>
          <w:sz w:val="24"/>
          <w:szCs w:val="24"/>
          <w:lang w:val="ru-RU"/>
        </w:rPr>
        <w:t xml:space="preserve"> следует формировать тыловую терминально-складскую инфраструктуру в регионах</w:t>
      </w:r>
      <w:r w:rsidRPr="00482656">
        <w:rPr>
          <w:rFonts w:ascii="Times New Roman" w:hAnsi="Times New Roman"/>
          <w:sz w:val="24"/>
          <w:szCs w:val="24"/>
          <w:lang w:val="ru-RU"/>
        </w:rPr>
        <w:t xml:space="preserve"> </w:t>
      </w:r>
      <w:r w:rsidRPr="00C55A13">
        <w:rPr>
          <w:rFonts w:ascii="Times New Roman" w:hAnsi="Times New Roman"/>
          <w:sz w:val="24"/>
          <w:szCs w:val="24"/>
          <w:lang w:val="ru-RU"/>
        </w:rPr>
        <w:t xml:space="preserve">России, где расположены </w:t>
      </w:r>
      <w:r>
        <w:rPr>
          <w:rFonts w:ascii="Times New Roman" w:hAnsi="Times New Roman"/>
          <w:sz w:val="24"/>
          <w:szCs w:val="24"/>
          <w:lang w:val="ru-RU"/>
        </w:rPr>
        <w:t>крупнейшие</w:t>
      </w:r>
      <w:r w:rsidRPr="00C55A13">
        <w:rPr>
          <w:rFonts w:ascii="Times New Roman" w:hAnsi="Times New Roman"/>
          <w:sz w:val="24"/>
          <w:szCs w:val="24"/>
          <w:lang w:val="ru-RU"/>
        </w:rPr>
        <w:t xml:space="preserve"> морские порты, ограниченность территории которых препятствует развитию эксплуатируемых портовых площадей и снижает их пропускную способность. </w:t>
      </w:r>
      <w:r>
        <w:rPr>
          <w:rFonts w:ascii="Times New Roman" w:hAnsi="Times New Roman"/>
          <w:sz w:val="24"/>
          <w:szCs w:val="24"/>
          <w:lang w:val="ru-RU"/>
        </w:rPr>
        <w:t xml:space="preserve">Создание </w:t>
      </w:r>
      <w:r w:rsidRPr="00482656">
        <w:rPr>
          <w:rFonts w:ascii="Times New Roman" w:hAnsi="Times New Roman"/>
          <w:sz w:val="24"/>
          <w:szCs w:val="24"/>
          <w:lang w:val="ru-RU"/>
        </w:rPr>
        <w:t xml:space="preserve">тыловых терминалов </w:t>
      </w:r>
      <w:r>
        <w:rPr>
          <w:rFonts w:ascii="Times New Roman" w:hAnsi="Times New Roman"/>
          <w:sz w:val="24"/>
          <w:szCs w:val="24"/>
          <w:lang w:val="ru-RU"/>
        </w:rPr>
        <w:t>позволит не только повысить производительность морских портов, но и увеличит</w:t>
      </w:r>
      <w:r w:rsidRPr="000E7361">
        <w:rPr>
          <w:rFonts w:ascii="Times New Roman" w:hAnsi="Times New Roman"/>
          <w:sz w:val="24"/>
          <w:szCs w:val="24"/>
          <w:lang w:val="ru-RU"/>
        </w:rPr>
        <w:t xml:space="preserve"> </w:t>
      </w:r>
      <w:r>
        <w:rPr>
          <w:rFonts w:ascii="Times New Roman" w:hAnsi="Times New Roman"/>
          <w:sz w:val="24"/>
          <w:szCs w:val="24"/>
          <w:lang w:val="ru-RU"/>
        </w:rPr>
        <w:t>финансовые поступления</w:t>
      </w:r>
      <w:r w:rsidRPr="00482656">
        <w:rPr>
          <w:rFonts w:ascii="Times New Roman" w:hAnsi="Times New Roman"/>
          <w:sz w:val="24"/>
          <w:szCs w:val="24"/>
          <w:lang w:val="ru-RU"/>
        </w:rPr>
        <w:t xml:space="preserve"> в бюджет страны</w:t>
      </w:r>
      <w:r>
        <w:rPr>
          <w:rFonts w:ascii="Times New Roman" w:hAnsi="Times New Roman"/>
          <w:sz w:val="24"/>
          <w:szCs w:val="24"/>
          <w:lang w:val="ru-RU"/>
        </w:rPr>
        <w:t xml:space="preserve"> от выполнения дополнительных логистических операций по преобразованию растущих грузопотоков, прежде всего, высокодоходных контейнерных грузов.</w:t>
      </w:r>
    </w:p>
    <w:p w:rsidR="0003622F" w:rsidRPr="00D96EC9" w:rsidRDefault="0003622F" w:rsidP="006358B0">
      <w:pPr>
        <w:pStyle w:val="CommentText"/>
        <w:ind w:firstLine="709"/>
        <w:jc w:val="both"/>
        <w:rPr>
          <w:sz w:val="24"/>
          <w:szCs w:val="24"/>
          <w:lang w:eastAsia="en-US"/>
        </w:rPr>
      </w:pPr>
      <w:r w:rsidRPr="00D96EC9">
        <w:rPr>
          <w:sz w:val="24"/>
          <w:szCs w:val="24"/>
          <w:lang w:eastAsia="en-US"/>
        </w:rPr>
        <w:t>Для получения экономического эффекта стратегия формирования терминальной инфраструктуры вокруг ведущих морских портов России должна быть основана на поэтап</w:t>
      </w:r>
      <w:r>
        <w:rPr>
          <w:sz w:val="24"/>
          <w:szCs w:val="24"/>
          <w:lang w:eastAsia="en-US"/>
        </w:rPr>
        <w:t>ном развитии тыловых терминалов. Ее реализация с учетом предложенного метода</w:t>
      </w:r>
      <w:r w:rsidRPr="00D96EC9">
        <w:rPr>
          <w:sz w:val="24"/>
          <w:szCs w:val="24"/>
          <w:lang w:eastAsia="en-US"/>
        </w:rPr>
        <w:t xml:space="preserve"> выбора </w:t>
      </w:r>
      <w:r>
        <w:rPr>
          <w:sz w:val="24"/>
          <w:szCs w:val="24"/>
          <w:lang w:eastAsia="en-US"/>
        </w:rPr>
        <w:t>рациональной</w:t>
      </w:r>
      <w:r w:rsidRPr="00D96EC9">
        <w:rPr>
          <w:sz w:val="24"/>
          <w:szCs w:val="24"/>
          <w:lang w:eastAsia="en-US"/>
        </w:rPr>
        <w:t xml:space="preserve"> этапности развития </w:t>
      </w:r>
      <w:r>
        <w:rPr>
          <w:sz w:val="24"/>
          <w:szCs w:val="24"/>
          <w:lang w:eastAsia="en-US"/>
        </w:rPr>
        <w:t xml:space="preserve">тыловых терминалов </w:t>
      </w:r>
      <w:r w:rsidRPr="00D96EC9">
        <w:rPr>
          <w:sz w:val="24"/>
          <w:szCs w:val="24"/>
          <w:lang w:eastAsia="en-US"/>
        </w:rPr>
        <w:t xml:space="preserve">создаст предпосылки для повышения конкурентоспособности отечественного транспортного комплекса с </w:t>
      </w:r>
      <w:r>
        <w:rPr>
          <w:sz w:val="24"/>
          <w:szCs w:val="24"/>
          <w:lang w:eastAsia="en-US"/>
        </w:rPr>
        <w:t xml:space="preserve">наименьшими </w:t>
      </w:r>
      <w:r w:rsidRPr="00D96EC9">
        <w:rPr>
          <w:sz w:val="24"/>
          <w:szCs w:val="24"/>
          <w:lang w:eastAsia="en-US"/>
        </w:rPr>
        <w:t xml:space="preserve">затратами </w:t>
      </w:r>
    </w:p>
    <w:p w:rsidR="0003622F" w:rsidRDefault="0003622F" w:rsidP="006358B0">
      <w:pPr>
        <w:spacing w:after="0" w:line="240" w:lineRule="auto"/>
        <w:ind w:firstLine="567"/>
        <w:jc w:val="both"/>
        <w:rPr>
          <w:rFonts w:ascii="Times New Roman" w:hAnsi="Times New Roman"/>
          <w:sz w:val="24"/>
          <w:szCs w:val="24"/>
          <w:lang w:val="ru-RU"/>
        </w:rPr>
      </w:pPr>
    </w:p>
    <w:p w:rsidR="0003622F" w:rsidRPr="00482656" w:rsidRDefault="0003622F" w:rsidP="00482656">
      <w:pPr>
        <w:spacing w:after="0" w:line="240" w:lineRule="auto"/>
        <w:jc w:val="both"/>
        <w:rPr>
          <w:rFonts w:ascii="Times New Roman" w:hAnsi="Times New Roman"/>
          <w:b/>
          <w:sz w:val="24"/>
          <w:szCs w:val="24"/>
          <w:lang w:val="ru-RU"/>
        </w:rPr>
      </w:pPr>
      <w:r>
        <w:rPr>
          <w:rFonts w:ascii="Times New Roman" w:hAnsi="Times New Roman"/>
          <w:b/>
          <w:sz w:val="24"/>
          <w:szCs w:val="24"/>
          <w:lang w:val="ru-RU"/>
        </w:rPr>
        <w:t>Литература</w:t>
      </w:r>
    </w:p>
    <w:p w:rsidR="0003622F" w:rsidRPr="00482656" w:rsidRDefault="0003622F" w:rsidP="00482656">
      <w:pPr>
        <w:pStyle w:val="ListParagraph"/>
        <w:numPr>
          <w:ilvl w:val="0"/>
          <w:numId w:val="1"/>
        </w:numPr>
        <w:spacing w:after="0" w:line="240" w:lineRule="auto"/>
        <w:ind w:left="0" w:right="-142" w:firstLine="360"/>
        <w:jc w:val="both"/>
        <w:rPr>
          <w:rFonts w:ascii="Times New Roman" w:hAnsi="Times New Roman"/>
          <w:sz w:val="24"/>
          <w:szCs w:val="24"/>
          <w:shd w:val="clear" w:color="auto" w:fill="FFFFFF"/>
          <w:lang w:val="ru-RU"/>
        </w:rPr>
      </w:pPr>
      <w:r w:rsidRPr="00482656">
        <w:rPr>
          <w:rFonts w:ascii="Times New Roman" w:hAnsi="Times New Roman"/>
          <w:sz w:val="24"/>
          <w:szCs w:val="24"/>
          <w:shd w:val="clear" w:color="auto" w:fill="FFFFFF"/>
          <w:lang w:val="ru-RU"/>
        </w:rPr>
        <w:t>Сергеев В.И. Роль логистики в развитии транспортного комплекса России//Терминал. – 2000. – № 2(22). – С.29-31.</w:t>
      </w:r>
    </w:p>
    <w:p w:rsidR="0003622F" w:rsidRPr="00482656" w:rsidRDefault="0003622F" w:rsidP="00482656">
      <w:pPr>
        <w:pStyle w:val="ListParagraph"/>
        <w:numPr>
          <w:ilvl w:val="0"/>
          <w:numId w:val="1"/>
        </w:numPr>
        <w:spacing w:after="0" w:line="240" w:lineRule="auto"/>
        <w:ind w:left="0" w:right="-142" w:firstLine="360"/>
        <w:jc w:val="both"/>
        <w:rPr>
          <w:rFonts w:ascii="Times New Roman" w:hAnsi="Times New Roman"/>
          <w:sz w:val="24"/>
          <w:szCs w:val="24"/>
          <w:shd w:val="clear" w:color="auto" w:fill="FFFFFF"/>
        </w:rPr>
      </w:pPr>
      <w:r w:rsidRPr="00482656">
        <w:rPr>
          <w:rFonts w:ascii="Times New Roman" w:hAnsi="Times New Roman"/>
          <w:sz w:val="24"/>
          <w:szCs w:val="24"/>
          <w:shd w:val="clear" w:color="auto" w:fill="FFFFFF"/>
        </w:rPr>
        <w:t>Schwab K. The global competitiveness report 2011-2012. The World Economic Forum. Geneva, Switzerland, 2011, – 544 p.</w:t>
      </w:r>
    </w:p>
    <w:p w:rsidR="0003622F" w:rsidRPr="00482656" w:rsidRDefault="0003622F" w:rsidP="00482656">
      <w:pPr>
        <w:pStyle w:val="ListParagraph"/>
        <w:numPr>
          <w:ilvl w:val="0"/>
          <w:numId w:val="1"/>
        </w:numPr>
        <w:spacing w:after="0" w:line="240" w:lineRule="auto"/>
        <w:ind w:left="0" w:right="-144" w:firstLine="360"/>
        <w:jc w:val="both"/>
        <w:rPr>
          <w:rFonts w:ascii="Times New Roman" w:hAnsi="Times New Roman"/>
          <w:bCs/>
          <w:sz w:val="24"/>
          <w:szCs w:val="24"/>
          <w:lang w:val="ru-RU"/>
        </w:rPr>
      </w:pPr>
      <w:r w:rsidRPr="00482656">
        <w:rPr>
          <w:rFonts w:ascii="Times New Roman" w:hAnsi="Times New Roman"/>
          <w:sz w:val="24"/>
          <w:szCs w:val="24"/>
          <w:lang w:val="ru-RU"/>
        </w:rPr>
        <w:t>ЗАО «Морцентр-ТЭК». Все грузы России// Морские порты. – 2012, № 1(102) . – С.85 - 95.</w:t>
      </w:r>
      <w:r w:rsidRPr="00482656">
        <w:rPr>
          <w:rFonts w:ascii="Times New Roman" w:hAnsi="Times New Roman"/>
          <w:bCs/>
          <w:sz w:val="24"/>
          <w:szCs w:val="24"/>
          <w:lang w:val="ru-RU"/>
        </w:rPr>
        <w:t xml:space="preserve"> </w:t>
      </w:r>
    </w:p>
    <w:p w:rsidR="0003622F" w:rsidRPr="00482656" w:rsidRDefault="0003622F" w:rsidP="00482656">
      <w:pPr>
        <w:pStyle w:val="ListParagraph"/>
        <w:numPr>
          <w:ilvl w:val="0"/>
          <w:numId w:val="1"/>
        </w:numPr>
        <w:spacing w:after="0" w:line="240" w:lineRule="auto"/>
        <w:ind w:left="0" w:right="-142" w:firstLine="360"/>
        <w:jc w:val="both"/>
        <w:rPr>
          <w:rFonts w:ascii="Times New Roman" w:hAnsi="Times New Roman"/>
          <w:sz w:val="24"/>
          <w:szCs w:val="24"/>
          <w:shd w:val="clear" w:color="auto" w:fill="FFFFFF"/>
          <w:lang w:val="ru-RU"/>
        </w:rPr>
      </w:pPr>
      <w:r w:rsidRPr="00482656">
        <w:rPr>
          <w:rFonts w:ascii="Times New Roman" w:hAnsi="Times New Roman"/>
          <w:sz w:val="24"/>
          <w:szCs w:val="24"/>
          <w:shd w:val="clear" w:color="auto" w:fill="FFFFFF"/>
          <w:lang w:val="ru-RU"/>
        </w:rPr>
        <w:t>Стратегия развития морской портовой инфраструктуры до 2030 г./Федеральное государственное унитарное предприятие «РОСМОРПОРТ» – 08.09.2011 г., 218 с.</w:t>
      </w:r>
    </w:p>
    <w:p w:rsidR="0003622F" w:rsidRPr="00482656" w:rsidRDefault="0003622F" w:rsidP="00482656">
      <w:pPr>
        <w:pStyle w:val="ListParagraph"/>
        <w:numPr>
          <w:ilvl w:val="0"/>
          <w:numId w:val="1"/>
        </w:numPr>
        <w:spacing w:after="0" w:line="240" w:lineRule="auto"/>
        <w:ind w:left="0" w:right="-142" w:firstLine="360"/>
        <w:jc w:val="both"/>
        <w:rPr>
          <w:rFonts w:ascii="Times New Roman" w:hAnsi="Times New Roman"/>
          <w:sz w:val="24"/>
          <w:szCs w:val="24"/>
          <w:shd w:val="clear" w:color="auto" w:fill="FFFFFF"/>
          <w:lang w:val="ru-RU"/>
        </w:rPr>
      </w:pPr>
      <w:r w:rsidRPr="00482656">
        <w:rPr>
          <w:rFonts w:ascii="Times New Roman" w:hAnsi="Times New Roman"/>
          <w:sz w:val="24"/>
          <w:szCs w:val="24"/>
          <w:shd w:val="clear" w:color="auto" w:fill="FFFFFF"/>
          <w:lang w:val="ru-RU"/>
        </w:rPr>
        <w:t xml:space="preserve">Панова, Ю.Н., Коровяковский, Е.К. Способы повышения пропускной способности морских контейнерных портов// Вестник РГУПС. – 2012, №2(46), – С. 139 – 144. </w:t>
      </w:r>
    </w:p>
    <w:p w:rsidR="0003622F" w:rsidRPr="00482656" w:rsidRDefault="0003622F" w:rsidP="00482656">
      <w:pPr>
        <w:pStyle w:val="ListParagraph"/>
        <w:numPr>
          <w:ilvl w:val="0"/>
          <w:numId w:val="1"/>
        </w:numPr>
        <w:spacing w:after="0" w:line="240" w:lineRule="auto"/>
        <w:ind w:left="0" w:right="-142" w:firstLine="360"/>
        <w:jc w:val="both"/>
        <w:rPr>
          <w:rFonts w:ascii="Times New Roman" w:hAnsi="Times New Roman"/>
          <w:sz w:val="24"/>
          <w:szCs w:val="24"/>
          <w:shd w:val="clear" w:color="auto" w:fill="FFFFFF"/>
          <w:lang w:val="ru-RU"/>
        </w:rPr>
      </w:pPr>
      <w:r w:rsidRPr="00482656">
        <w:rPr>
          <w:rFonts w:ascii="Times New Roman" w:hAnsi="Times New Roman"/>
          <w:sz w:val="24"/>
          <w:szCs w:val="24"/>
          <w:shd w:val="clear" w:color="auto" w:fill="FFFFFF"/>
          <w:lang w:val="ru-RU"/>
        </w:rPr>
        <w:t xml:space="preserve">Панова Ю.Н., Коровяковский Е.К., Грошев Г. М. К вопросу об этапности развития терминалов при растущих объемах контейнеропотоков, // Известия Петербургского университета путей сообщения. </w:t>
      </w:r>
      <w:r w:rsidRPr="00482656">
        <w:rPr>
          <w:rFonts w:ascii="Times New Roman" w:hAnsi="Times New Roman"/>
          <w:sz w:val="24"/>
          <w:szCs w:val="24"/>
          <w:shd w:val="clear" w:color="auto" w:fill="FFFFFF"/>
        </w:rPr>
        <w:t>СПб.: Петербургский гос. ун-т путей сообщения, 2011. – Вып. 4 (29). - С. 7-15.</w:t>
      </w:r>
    </w:p>
    <w:p w:rsidR="0003622F" w:rsidRPr="00482656" w:rsidRDefault="0003622F" w:rsidP="00482656">
      <w:pPr>
        <w:spacing w:line="240" w:lineRule="auto"/>
        <w:rPr>
          <w:rFonts w:ascii="Times New Roman" w:hAnsi="Times New Roman"/>
          <w:sz w:val="24"/>
          <w:szCs w:val="24"/>
          <w:lang w:val="ru-RU"/>
        </w:rPr>
      </w:pPr>
    </w:p>
    <w:sectPr w:rsidR="0003622F" w:rsidRPr="00482656" w:rsidSect="00482656">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D0648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92EF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76A68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66834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8A01C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DCC1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A83E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6090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2608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E322426"/>
    <w:lvl w:ilvl="0">
      <w:start w:val="1"/>
      <w:numFmt w:val="bullet"/>
      <w:lvlText w:val=""/>
      <w:lvlJc w:val="left"/>
      <w:pPr>
        <w:tabs>
          <w:tab w:val="num" w:pos="360"/>
        </w:tabs>
        <w:ind w:left="360" w:hanging="360"/>
      </w:pPr>
      <w:rPr>
        <w:rFonts w:ascii="Symbol" w:hAnsi="Symbol" w:hint="default"/>
      </w:rPr>
    </w:lvl>
  </w:abstractNum>
  <w:abstractNum w:abstractNumId="10">
    <w:nsid w:val="05721B2F"/>
    <w:multiLevelType w:val="hybridMultilevel"/>
    <w:tmpl w:val="29C02C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A3F"/>
    <w:rsid w:val="00017B33"/>
    <w:rsid w:val="0003622F"/>
    <w:rsid w:val="0008709E"/>
    <w:rsid w:val="000E7361"/>
    <w:rsid w:val="00147A3F"/>
    <w:rsid w:val="00187106"/>
    <w:rsid w:val="001C3643"/>
    <w:rsid w:val="001E5262"/>
    <w:rsid w:val="002530CB"/>
    <w:rsid w:val="00253931"/>
    <w:rsid w:val="002E7108"/>
    <w:rsid w:val="00315380"/>
    <w:rsid w:val="00317061"/>
    <w:rsid w:val="004341DA"/>
    <w:rsid w:val="00482656"/>
    <w:rsid w:val="004F256F"/>
    <w:rsid w:val="00561DF8"/>
    <w:rsid w:val="005B7B0A"/>
    <w:rsid w:val="00623BF1"/>
    <w:rsid w:val="006358B0"/>
    <w:rsid w:val="0067448D"/>
    <w:rsid w:val="00680E0E"/>
    <w:rsid w:val="006A6979"/>
    <w:rsid w:val="006D0291"/>
    <w:rsid w:val="00793251"/>
    <w:rsid w:val="00796B49"/>
    <w:rsid w:val="007A3949"/>
    <w:rsid w:val="00810215"/>
    <w:rsid w:val="008A0F78"/>
    <w:rsid w:val="008E1A0C"/>
    <w:rsid w:val="008F04E8"/>
    <w:rsid w:val="00913ADF"/>
    <w:rsid w:val="00924E19"/>
    <w:rsid w:val="00947B32"/>
    <w:rsid w:val="009D3BF6"/>
    <w:rsid w:val="009E1928"/>
    <w:rsid w:val="00A367FD"/>
    <w:rsid w:val="00AD09B9"/>
    <w:rsid w:val="00AD71DC"/>
    <w:rsid w:val="00B2122C"/>
    <w:rsid w:val="00B403E3"/>
    <w:rsid w:val="00B47B1A"/>
    <w:rsid w:val="00BF2B39"/>
    <w:rsid w:val="00C0396E"/>
    <w:rsid w:val="00C06013"/>
    <w:rsid w:val="00C53632"/>
    <w:rsid w:val="00C55A13"/>
    <w:rsid w:val="00C84C25"/>
    <w:rsid w:val="00D114A1"/>
    <w:rsid w:val="00D201EB"/>
    <w:rsid w:val="00D277BC"/>
    <w:rsid w:val="00D96EC9"/>
    <w:rsid w:val="00DC61B2"/>
    <w:rsid w:val="00DD12A6"/>
    <w:rsid w:val="00E96633"/>
    <w:rsid w:val="00EB66A0"/>
    <w:rsid w:val="00EE5CFB"/>
    <w:rsid w:val="00F46CF6"/>
    <w:rsid w:val="00FA14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3F"/>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2656"/>
    <w:pPr>
      <w:ind w:left="720"/>
      <w:contextualSpacing/>
    </w:pPr>
  </w:style>
  <w:style w:type="paragraph" w:styleId="CommentText">
    <w:name w:val="annotation text"/>
    <w:basedOn w:val="Normal"/>
    <w:link w:val="CommentTextChar"/>
    <w:uiPriority w:val="99"/>
    <w:semiHidden/>
    <w:rsid w:val="006358B0"/>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basedOn w:val="DefaultParagraphFont"/>
    <w:link w:val="CommentText"/>
    <w:uiPriority w:val="99"/>
    <w:semiHidden/>
    <w:locked/>
    <w:rsid w:val="006358B0"/>
    <w:rPr>
      <w:rFonts w:eastAsia="Times New Roman" w:cs="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6.wmf"/><Relationship Id="rId49" Type="http://schemas.openxmlformats.org/officeDocument/2006/relationships/oleObject" Target="embeddings/oleObject23.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emf"/><Relationship Id="rId8" Type="http://schemas.openxmlformats.org/officeDocument/2006/relationships/oleObject" Target="embeddings/oleObject2.bin"/><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5</Pages>
  <Words>1607</Words>
  <Characters>9166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Экономическая оценка эффективности поэтапного строительства тыловых контейнерных терминалов</dc:title>
  <dc:subject/>
  <dc:creator>Юлия</dc:creator>
  <cp:keywords/>
  <dc:description/>
  <cp:lastModifiedBy>Кафедра: "Логистика и коммерческая работа"</cp:lastModifiedBy>
  <cp:revision>16</cp:revision>
  <dcterms:created xsi:type="dcterms:W3CDTF">2012-09-25T12:39:00Z</dcterms:created>
  <dcterms:modified xsi:type="dcterms:W3CDTF">2012-09-25T15:08:00Z</dcterms:modified>
</cp:coreProperties>
</file>